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F32" w:rsidRPr="00F35B07" w:rsidRDefault="00F25F32" w:rsidP="00F25F32">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Mel J. Lacombe</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Medieval Literature </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Trac</w:t>
      </w:r>
      <w:r w:rsidRPr="00F35B07">
        <w:rPr>
          <w:rFonts w:ascii="Times New Roman" w:eastAsia="Times New Roman" w:hAnsi="Times New Roman" w:cs="Times New Roman"/>
          <w:sz w:val="24"/>
          <w:szCs w:val="24"/>
        </w:rPr>
        <w:t>y</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November </w:t>
      </w:r>
      <w:r w:rsidR="00081F9D">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F35B07">
        <w:rPr>
          <w:rFonts w:ascii="Times New Roman" w:eastAsia="Times New Roman" w:hAnsi="Times New Roman" w:cs="Times New Roman"/>
          <w:sz w:val="24"/>
          <w:szCs w:val="24"/>
        </w:rPr>
        <w:t>, 2014</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jc w:val="center"/>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Annotated Bibliography: Saint Margaret </w:t>
      </w:r>
    </w:p>
    <w:p w:rsidR="00081F9D" w:rsidRDefault="00081F9D" w:rsidP="00081F9D">
      <w:pPr>
        <w:spacing w:after="0" w:line="240" w:lineRule="auto"/>
        <w:rPr>
          <w:rFonts w:ascii="Times New Roman" w:eastAsia="Times New Roman" w:hAnsi="Times New Roman" w:cs="Times New Roman"/>
          <w:sz w:val="24"/>
          <w:szCs w:val="24"/>
        </w:rPr>
      </w:pPr>
    </w:p>
    <w:p w:rsidR="00081F9D" w:rsidRPr="00081F9D" w:rsidRDefault="00081F9D" w:rsidP="00081F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Bernau, Anke; Evans, Ruth. </w:t>
      </w:r>
      <w:r>
        <w:rPr>
          <w:rFonts w:ascii="Times New Roman" w:eastAsia="Times New Roman" w:hAnsi="Times New Roman" w:cs="Times New Roman"/>
          <w:i/>
          <w:sz w:val="24"/>
          <w:szCs w:val="24"/>
        </w:rPr>
        <w:t xml:space="preserve">Medieval Virginities. </w:t>
      </w:r>
      <w:r>
        <w:rPr>
          <w:rFonts w:ascii="Times New Roman" w:eastAsia="Times New Roman" w:hAnsi="Times New Roman" w:cs="Times New Roman"/>
          <w:sz w:val="24"/>
          <w:szCs w:val="24"/>
        </w:rPr>
        <w:t xml:space="preserve">University of Wales Press: 2001. Print. </w:t>
      </w:r>
    </w:p>
    <w:p w:rsidR="00081F9D" w:rsidRDefault="00081F9D" w:rsidP="00081F9D">
      <w:pPr>
        <w:spacing w:after="0" w:line="240" w:lineRule="auto"/>
        <w:rPr>
          <w:rFonts w:ascii="Times New Roman" w:eastAsia="Times New Roman" w:hAnsi="Times New Roman" w:cs="Times New Roman"/>
          <w:sz w:val="24"/>
          <w:szCs w:val="24"/>
        </w:rPr>
      </w:pPr>
    </w:p>
    <w:p w:rsidR="00081F9D" w:rsidRDefault="00081F9D" w:rsidP="00081F9D">
      <w:pPr>
        <w:rPr>
          <w:rFonts w:ascii="Times New Roman" w:hAnsi="Times New Roman" w:cs="Times New Roman"/>
          <w:sz w:val="24"/>
          <w:szCs w:val="24"/>
        </w:rPr>
      </w:pPr>
      <w:r>
        <w:rPr>
          <w:rFonts w:ascii="Times New Roman" w:hAnsi="Times New Roman" w:cs="Times New Roman"/>
          <w:sz w:val="24"/>
          <w:szCs w:val="24"/>
        </w:rPr>
        <w:t>Bernau and Evans made an interesting connection between virgin martyr-saints and Christ:</w:t>
      </w:r>
    </w:p>
    <w:p w:rsidR="00081F9D" w:rsidRDefault="00081F9D" w:rsidP="00081F9D">
      <w:pPr>
        <w:ind w:left="720"/>
        <w:rPr>
          <w:rFonts w:ascii="Times New Roman" w:hAnsi="Times New Roman" w:cs="Times New Roman"/>
          <w:sz w:val="24"/>
          <w:szCs w:val="24"/>
        </w:rPr>
      </w:pPr>
      <w:r w:rsidRPr="000C74D9">
        <w:rPr>
          <w:rFonts w:ascii="Times New Roman" w:hAnsi="Times New Roman" w:cs="Times New Roman"/>
          <w:sz w:val="24"/>
          <w:szCs w:val="24"/>
        </w:rPr>
        <w:t xml:space="preserve">“But the Eucharistic </w:t>
      </w:r>
      <w:r w:rsidRPr="000C74D9">
        <w:rPr>
          <w:rFonts w:ascii="Times New Roman" w:hAnsi="Times New Roman" w:cs="Times New Roman"/>
          <w:i/>
          <w:sz w:val="24"/>
          <w:szCs w:val="24"/>
        </w:rPr>
        <w:t>corpus Christi</w:t>
      </w:r>
      <w:r w:rsidRPr="000C74D9">
        <w:rPr>
          <w:rFonts w:ascii="Times New Roman" w:hAnsi="Times New Roman" w:cs="Times New Roman"/>
          <w:sz w:val="24"/>
          <w:szCs w:val="24"/>
        </w:rPr>
        <w:t xml:space="preserve"> (body of Christ) is not the only medieval body to be tested this way. Numerous lives of female virgin martyrs (Katherine, Margaret, Barbara and so on) produced in England during the thirteenth to sixteenth centuries, celebrated the triumph of a pure and inviolate Christian woman over the dark forces of pagan unbelief. And the battleground is specifically that of the female body […] Saint Margaret lives through a variety of superhuman ordeals […] including being [hanged] up high, as the Jews did to Christ. The injuries done to her body – beating, and piercing – are reminiscent of the buffeting and scourging of Christ” (Evans, 168, 172)</w:t>
      </w:r>
      <w:r>
        <w:rPr>
          <w:rFonts w:ascii="Times New Roman" w:hAnsi="Times New Roman" w:cs="Times New Roman"/>
          <w:sz w:val="24"/>
          <w:szCs w:val="24"/>
        </w:rPr>
        <w:t>.</w:t>
      </w:r>
    </w:p>
    <w:p w:rsidR="00081F9D" w:rsidRPr="000C74D9" w:rsidRDefault="00081F9D" w:rsidP="00081F9D">
      <w:pPr>
        <w:ind w:firstLine="720"/>
        <w:rPr>
          <w:rFonts w:ascii="Times New Roman" w:hAnsi="Times New Roman" w:cs="Times New Roman"/>
          <w:sz w:val="24"/>
          <w:szCs w:val="24"/>
        </w:rPr>
      </w:pPr>
      <w:r>
        <w:rPr>
          <w:rFonts w:ascii="Times New Roman" w:hAnsi="Times New Roman" w:cs="Times New Roman"/>
          <w:sz w:val="24"/>
          <w:szCs w:val="24"/>
        </w:rPr>
        <w:t xml:space="preserve">With this view in mind, one can see why perhaps female virgin saints were more widely venerated, as they, like Christ, managed to remain virgins, a task simply impossible (and not really called for) among men. Additionally, Bernau and Evans point out, Margaret’s story especially, is comparative to Christ’s and his suffering. This is interesting especially since she was removed from sainthood as she was deemed unhistorical. Christ himself did some unrealistic (or difficult to believe) things, and it is curious that Margaret was removed due to her experiences, which simply involved demons. </w:t>
      </w:r>
    </w:p>
    <w:p w:rsidR="00081F9D" w:rsidRPr="00F35B07" w:rsidRDefault="00081F9D" w:rsidP="00081F9D">
      <w:pPr>
        <w:spacing w:after="0" w:line="240" w:lineRule="auto"/>
        <w:rPr>
          <w:rFonts w:ascii="Times New Roman" w:eastAsia="Times New Roman" w:hAnsi="Times New Roman" w:cs="Times New Roman"/>
          <w:sz w:val="24"/>
          <w:szCs w:val="24"/>
        </w:rPr>
      </w:pP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Bledsoe, Jenny C. “</w:t>
      </w:r>
      <w:r w:rsidRPr="00F35B07">
        <w:rPr>
          <w:rFonts w:ascii="Times New Roman" w:eastAsia="Times New Roman" w:hAnsi="Times New Roman" w:cs="Times New Roman"/>
          <w:sz w:val="24"/>
          <w:szCs w:val="24"/>
          <w:lang w:val="en"/>
        </w:rPr>
        <w:t xml:space="preserve">The Cult of St. Margaret of Antioch at Tarrant Crawford: The Saint’s Didactic Body and its Resonance for Religious Women”. </w:t>
      </w:r>
      <w:r w:rsidRPr="00F35B07">
        <w:rPr>
          <w:rFonts w:ascii="Times New Roman" w:eastAsia="Times New Roman" w:hAnsi="Times New Roman" w:cs="Times New Roman"/>
          <w:i/>
          <w:sz w:val="24"/>
          <w:szCs w:val="24"/>
          <w:lang w:val="en"/>
        </w:rPr>
        <w:t>Journal of Medieval Religious Cultures</w:t>
      </w:r>
      <w:r w:rsidRPr="00F35B07">
        <w:rPr>
          <w:rFonts w:ascii="Times New Roman" w:eastAsia="Times New Roman" w:hAnsi="Times New Roman" w:cs="Times New Roman"/>
          <w:sz w:val="24"/>
          <w:szCs w:val="24"/>
          <w:lang w:val="en"/>
        </w:rPr>
        <w:t xml:space="preserve">; </w:t>
      </w:r>
      <w:r>
        <w:rPr>
          <w:rFonts w:ascii="Times New Roman" w:eastAsia="Times New Roman" w:hAnsi="Times New Roman" w:cs="Times New Roman"/>
          <w:sz w:val="24"/>
          <w:szCs w:val="24"/>
          <w:lang w:val="en"/>
        </w:rPr>
        <w:t xml:space="preserve">39. </w:t>
      </w:r>
      <w:r w:rsidRPr="00F35B07">
        <w:rPr>
          <w:rFonts w:ascii="Times New Roman" w:eastAsia="Times New Roman" w:hAnsi="Times New Roman" w:cs="Times New Roman"/>
          <w:sz w:val="24"/>
          <w:szCs w:val="24"/>
          <w:lang w:val="en"/>
        </w:rPr>
        <w:t xml:space="preserve">2. (2013). </w:t>
      </w:r>
      <w:r>
        <w:rPr>
          <w:rFonts w:ascii="Times New Roman" w:eastAsia="Times New Roman" w:hAnsi="Times New Roman" w:cs="Times New Roman"/>
          <w:sz w:val="24"/>
          <w:szCs w:val="24"/>
          <w:lang w:val="en"/>
        </w:rPr>
        <w:t xml:space="preserve">173-198. </w:t>
      </w:r>
      <w:r w:rsidRPr="00F35B07">
        <w:rPr>
          <w:rFonts w:ascii="Times New Roman" w:eastAsia="Times New Roman" w:hAnsi="Times New Roman" w:cs="Times New Roman"/>
          <w:sz w:val="24"/>
          <w:szCs w:val="24"/>
        </w:rPr>
        <w:t xml:space="preserve">Academia.edu. </w:t>
      </w:r>
      <w:r>
        <w:rPr>
          <w:rFonts w:ascii="Times New Roman" w:eastAsia="Times New Roman" w:hAnsi="Times New Roman" w:cs="Times New Roman"/>
          <w:sz w:val="24"/>
          <w:szCs w:val="24"/>
        </w:rPr>
        <w:t>Web. 22 Oct.</w:t>
      </w:r>
      <w:r w:rsidRPr="00F35B07">
        <w:rPr>
          <w:rFonts w:ascii="Times New Roman" w:eastAsia="Times New Roman" w:hAnsi="Times New Roman" w:cs="Times New Roman"/>
          <w:sz w:val="24"/>
          <w:szCs w:val="24"/>
        </w:rPr>
        <w:t xml:space="preserve"> 2014.</w:t>
      </w: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p>
    <w:p w:rsidR="00F25F32" w:rsidRPr="00F35B07" w:rsidRDefault="00F25F32" w:rsidP="00F25F32">
      <w:pPr>
        <w:autoSpaceDE w:val="0"/>
        <w:autoSpaceDN w:val="0"/>
        <w:adjustRightInd w:val="0"/>
        <w:spacing w:after="0" w:line="240" w:lineRule="auto"/>
        <w:ind w:firstLine="720"/>
        <w:rPr>
          <w:rFonts w:ascii="Times New Roman" w:eastAsia="MS Mincho" w:hAnsi="Times New Roman" w:cs="Times New Roman"/>
          <w:sz w:val="24"/>
          <w:szCs w:val="24"/>
        </w:rPr>
      </w:pPr>
      <w:r>
        <w:rPr>
          <w:rFonts w:ascii="Times New Roman" w:eastAsia="MS Mincho" w:hAnsi="Times New Roman" w:cs="Times New Roman"/>
          <w:sz w:val="24"/>
          <w:szCs w:val="24"/>
        </w:rPr>
        <w:t>The single greatest discovery</w:t>
      </w:r>
      <w:r w:rsidRPr="00F35B07">
        <w:rPr>
          <w:rFonts w:ascii="Times New Roman" w:eastAsia="MS Mincho" w:hAnsi="Times New Roman" w:cs="Times New Roman"/>
          <w:sz w:val="24"/>
          <w:szCs w:val="24"/>
        </w:rPr>
        <w:t xml:space="preserve"> of my research as of yet is owed to a then-graduate-student of the</w:t>
      </w:r>
      <w:r>
        <w:rPr>
          <w:rFonts w:ascii="Times New Roman" w:eastAsia="MS Mincho" w:hAnsi="Times New Roman" w:cs="Times New Roman"/>
          <w:sz w:val="24"/>
          <w:szCs w:val="24"/>
        </w:rPr>
        <w:t xml:space="preserve"> University of Tennessee</w:t>
      </w:r>
      <w:r w:rsidRPr="00F35B07">
        <w:rPr>
          <w:rFonts w:ascii="Times New Roman" w:eastAsia="MS Mincho" w:hAnsi="Times New Roman" w:cs="Times New Roman"/>
          <w:sz w:val="24"/>
          <w:szCs w:val="24"/>
        </w:rPr>
        <w:t xml:space="preserve">, Jenny C. Bledsoe. Bledsoe “specializes in high to late medieval religious literature, with a particular interest in the didactic goals, pastoral concerns, and models of holiness inherent in hagiography and devotional literature” and is now a part of the </w:t>
      </w:r>
      <w:r>
        <w:rPr>
          <w:rFonts w:ascii="Times New Roman" w:eastAsia="MS Mincho" w:hAnsi="Times New Roman" w:cs="Times New Roman"/>
          <w:sz w:val="24"/>
          <w:szCs w:val="24"/>
        </w:rPr>
        <w:t>Emo</w:t>
      </w:r>
      <w:r w:rsidRPr="00F35B07">
        <w:rPr>
          <w:rFonts w:ascii="Times New Roman" w:eastAsia="MS Mincho" w:hAnsi="Times New Roman" w:cs="Times New Roman"/>
          <w:sz w:val="24"/>
          <w:szCs w:val="24"/>
        </w:rPr>
        <w:t>ry English Department (</w:t>
      </w:r>
      <w:r>
        <w:rPr>
          <w:rFonts w:ascii="Times New Roman" w:eastAsia="MS Mincho" w:hAnsi="Times New Roman" w:cs="Times New Roman"/>
          <w:sz w:val="24"/>
          <w:szCs w:val="24"/>
        </w:rPr>
        <w:t>Emory</w:t>
      </w:r>
      <w:r w:rsidRPr="00F35B07">
        <w:rPr>
          <w:rFonts w:ascii="Times New Roman" w:eastAsia="MS Mincho" w:hAnsi="Times New Roman" w:cs="Times New Roman"/>
          <w:sz w:val="24"/>
          <w:szCs w:val="24"/>
        </w:rPr>
        <w:t xml:space="preserve">.edu). Throughout my readings of Teochimus’ story of St. Margaret, Caxton’s English translation of de Jacobus </w:t>
      </w:r>
      <w:r w:rsidRPr="00F35B07">
        <w:rPr>
          <w:rFonts w:ascii="Times New Roman" w:eastAsia="Times New Roman" w:hAnsi="Times New Roman" w:cs="Times New Roman"/>
          <w:sz w:val="24"/>
          <w:szCs w:val="24"/>
        </w:rPr>
        <w:t xml:space="preserve">de Voragine “The Golden Legend: St. Margaret” and even commentaries on St. Margaret’s life, I was frustrated with and suspicious of the unyielding theme of chastity and childbirth in such a colorful, gruesome, charged story. Bledsoe’s research led to a thrilling discovery of gross violation of the St. Margaret’s story, I learned, to more </w:t>
      </w:r>
      <w:r w:rsidRPr="00F35B07">
        <w:rPr>
          <w:rFonts w:ascii="Times New Roman" w:eastAsia="Times New Roman" w:hAnsi="Times New Roman" w:cs="Times New Roman"/>
          <w:sz w:val="24"/>
          <w:szCs w:val="24"/>
        </w:rPr>
        <w:lastRenderedPageBreak/>
        <w:t>pointedly preach the message of chastity for an audience of anchoresses, or nunnery, essentially, of female religious recluses:</w:t>
      </w:r>
    </w:p>
    <w:p w:rsidR="00F25F32" w:rsidRPr="00F35B07" w:rsidRDefault="00F25F32" w:rsidP="00F25F32">
      <w:pPr>
        <w:autoSpaceDE w:val="0"/>
        <w:autoSpaceDN w:val="0"/>
        <w:adjustRightInd w:val="0"/>
        <w:spacing w:after="0" w:line="240" w:lineRule="auto"/>
        <w:ind w:left="720"/>
        <w:rPr>
          <w:rFonts w:ascii="Times New Roman" w:eastAsia="MS Mincho" w:hAnsi="Times New Roman" w:cs="Times New Roman"/>
          <w:sz w:val="24"/>
          <w:szCs w:val="24"/>
        </w:rPr>
      </w:pPr>
      <w:r w:rsidRPr="00F35B07">
        <w:rPr>
          <w:rFonts w:ascii="Times New Roman" w:eastAsia="MS Mincho" w:hAnsi="Times New Roman" w:cs="Times New Roman"/>
          <w:sz w:val="24"/>
          <w:szCs w:val="24"/>
        </w:rPr>
        <w:t xml:space="preserve">“The author of the ‘Katherine Group’ [described as a ‘guide book’ for anchorites/anchoresses, in which saints’ lives were included] altered </w:t>
      </w:r>
      <w:r w:rsidRPr="00F35B07">
        <w:rPr>
          <w:rFonts w:ascii="Times New Roman" w:eastAsia="MS Mincho" w:hAnsi="Times New Roman" w:cs="Times New Roman"/>
          <w:i/>
          <w:iCs/>
          <w:sz w:val="24"/>
          <w:szCs w:val="24"/>
        </w:rPr>
        <w:t xml:space="preserve">The Life of St. Margaret </w:t>
      </w:r>
      <w:r w:rsidRPr="00F35B07">
        <w:rPr>
          <w:rFonts w:ascii="Times New Roman" w:eastAsia="MS Mincho" w:hAnsi="Times New Roman" w:cs="Times New Roman"/>
          <w:sz w:val="24"/>
          <w:szCs w:val="24"/>
        </w:rPr>
        <w:t>in order to emphasize certain characteristics that make the saint’s experience very much relatable to that of the anchoress. These changes alone indicate that the vitae of the ‘Katherine Group’ were intended for an isolated religious audience such as the anchoresses at Tarrant […] the ‘emphasis on the temptation of the flesh was deliberate,’ as ‘suggested by the author’s alterations of the Latin version in which he expands and emphasizes physical suffering.’ [It] also includes “a dramatic episode not found in any other known version of her life.” In this added segment, after St. Margaret conquers a demonic dragon, another demon appears and “explains how it has often ensnarled good people trying to lead clean lives</w:t>
      </w:r>
      <w:r>
        <w:rPr>
          <w:rFonts w:ascii="Times New Roman" w:eastAsia="MS Mincho" w:hAnsi="Times New Roman" w:cs="Times New Roman"/>
          <w:sz w:val="24"/>
          <w:szCs w:val="24"/>
        </w:rPr>
        <w:t>” (Bledsoe</w:t>
      </w:r>
      <w:r w:rsidRPr="00F35B07">
        <w:rPr>
          <w:rFonts w:ascii="Times New Roman" w:eastAsia="MS Mincho" w:hAnsi="Times New Roman" w:cs="Times New Roman"/>
          <w:sz w:val="24"/>
          <w:szCs w:val="24"/>
        </w:rPr>
        <w:t xml:space="preserve"> 177).</w:t>
      </w:r>
    </w:p>
    <w:p w:rsidR="00F25F32" w:rsidRPr="00F35B07" w:rsidRDefault="00F25F32" w:rsidP="00F25F32">
      <w:pPr>
        <w:autoSpaceDE w:val="0"/>
        <w:autoSpaceDN w:val="0"/>
        <w:adjustRightInd w:val="0"/>
        <w:spacing w:after="0" w:line="240" w:lineRule="auto"/>
        <w:rPr>
          <w:rFonts w:ascii="Times New Roman" w:eastAsia="MS Mincho" w:hAnsi="Times New Roman" w:cs="Times New Roman"/>
          <w:sz w:val="24"/>
          <w:szCs w:val="24"/>
        </w:rPr>
      </w:pPr>
      <w:r w:rsidRPr="00F35B07">
        <w:rPr>
          <w:rFonts w:ascii="Times New Roman" w:eastAsia="MS Mincho" w:hAnsi="Times New Roman" w:cs="Times New Roman"/>
          <w:sz w:val="24"/>
          <w:szCs w:val="24"/>
        </w:rPr>
        <w:tab/>
        <w:t xml:space="preserve">This is to say, the demon that appears to Margaret with whom she converses freely and demand of him his name and to know why he torments the children of God with temptation – </w:t>
      </w:r>
      <w:r w:rsidRPr="00F35B07">
        <w:rPr>
          <w:rFonts w:ascii="Times New Roman" w:eastAsia="MS Mincho" w:hAnsi="Times New Roman" w:cs="Times New Roman"/>
          <w:i/>
          <w:sz w:val="24"/>
          <w:szCs w:val="24"/>
        </w:rPr>
        <w:t>did not appear in the original story.</w:t>
      </w:r>
      <w:r w:rsidRPr="00F35B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Any student of religion, history or literature should find that upsetting. Saint Margaret’s colorful and heroic tale is reduced to mere propaganda to remain virginal – not spiritual strength, not courage, not demonic warfare. </w:t>
      </w:r>
      <w:r w:rsidRPr="00F35B07">
        <w:rPr>
          <w:rFonts w:ascii="Times New Roman" w:eastAsia="MS Mincho" w:hAnsi="Times New Roman" w:cs="Times New Roman"/>
          <w:sz w:val="24"/>
          <w:szCs w:val="24"/>
        </w:rPr>
        <w:t>Overall it is not shocking that a story including a dragon had any falsities involved – but the fact that the first known embellishment has to do with the issue of female virginity is outrageous. What about other concepts, such as the demons, and the story of Margaret meeting a demon that King Solomon himself had bound, written several hundred years apart, both mention? Why, in a</w:t>
      </w:r>
      <w:r>
        <w:rPr>
          <w:rFonts w:ascii="Times New Roman" w:eastAsia="MS Mincho" w:hAnsi="Times New Roman" w:cs="Times New Roman"/>
          <w:sz w:val="24"/>
          <w:szCs w:val="24"/>
        </w:rPr>
        <w:t xml:space="preserve"> spiritual</w:t>
      </w:r>
      <w:r w:rsidRPr="00F35B07">
        <w:rPr>
          <w:rFonts w:ascii="Times New Roman" w:eastAsia="MS Mincho" w:hAnsi="Times New Roman" w:cs="Times New Roman"/>
          <w:sz w:val="24"/>
          <w:szCs w:val="24"/>
        </w:rPr>
        <w:t xml:space="preserve"> w</w:t>
      </w:r>
      <w:r>
        <w:rPr>
          <w:rFonts w:ascii="Times New Roman" w:eastAsia="MS Mincho" w:hAnsi="Times New Roman" w:cs="Times New Roman"/>
          <w:sz w:val="24"/>
          <w:szCs w:val="24"/>
        </w:rPr>
        <w:t xml:space="preserve">orld where demons exist, is </w:t>
      </w:r>
      <w:r w:rsidRPr="00F35B07">
        <w:rPr>
          <w:rFonts w:ascii="Times New Roman" w:eastAsia="MS Mincho" w:hAnsi="Times New Roman" w:cs="Times New Roman"/>
          <w:sz w:val="24"/>
          <w:szCs w:val="24"/>
        </w:rPr>
        <w:t>female virg</w:t>
      </w:r>
      <w:r>
        <w:rPr>
          <w:rFonts w:ascii="Times New Roman" w:eastAsia="MS Mincho" w:hAnsi="Times New Roman" w:cs="Times New Roman"/>
          <w:sz w:val="24"/>
          <w:szCs w:val="24"/>
        </w:rPr>
        <w:t>inity so essential to a woman’s worth and salvation?</w:t>
      </w: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lang w:val="en"/>
        </w:rPr>
      </w:pP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Caxton, William, trans</w:t>
      </w:r>
      <w:r w:rsidRPr="00F35B07">
        <w:rPr>
          <w:rFonts w:ascii="Times New Roman" w:eastAsia="Times New Roman" w:hAnsi="Times New Roman" w:cs="Times New Roman"/>
          <w:sz w:val="24"/>
          <w:szCs w:val="24"/>
        </w:rPr>
        <w:t>. “The Golden Legend: St. Margaret</w:t>
      </w:r>
      <w:r>
        <w:rPr>
          <w:rFonts w:ascii="Times New Roman" w:eastAsia="Times New Roman" w:hAnsi="Times New Roman" w:cs="Times New Roman"/>
          <w:sz w:val="24"/>
          <w:szCs w:val="24"/>
        </w:rPr>
        <w:t>.</w:t>
      </w:r>
      <w:r w:rsidRPr="00F35B07">
        <w:rPr>
          <w:rFonts w:ascii="Times New Roman" w:eastAsia="Times New Roman" w:hAnsi="Times New Roman" w:cs="Times New Roman"/>
          <w:sz w:val="24"/>
          <w:szCs w:val="24"/>
        </w:rPr>
        <w:t xml:space="preserve">” </w:t>
      </w:r>
      <w:r w:rsidRPr="00F35B07">
        <w:rPr>
          <w:rFonts w:ascii="Times New Roman" w:eastAsia="MS Mincho" w:hAnsi="Times New Roman" w:cs="Times New Roman"/>
          <w:sz w:val="24"/>
          <w:szCs w:val="24"/>
        </w:rPr>
        <w:t>Compiled by Jacobus de Voragine, Archbishop of Genoa, 1</w:t>
      </w:r>
      <w:r>
        <w:rPr>
          <w:rFonts w:ascii="Times New Roman" w:eastAsia="MS Mincho" w:hAnsi="Times New Roman" w:cs="Times New Roman"/>
          <w:sz w:val="24"/>
          <w:szCs w:val="24"/>
        </w:rPr>
        <w:t>275. The Temple Classics. Ed. F.S. Ellis.</w:t>
      </w:r>
      <w:r w:rsidRPr="00F35B07">
        <w:rPr>
          <w:rFonts w:ascii="Times New Roman" w:eastAsia="MS Mincho" w:hAnsi="Times New Roman" w:cs="Times New Roman"/>
          <w:sz w:val="24"/>
          <w:szCs w:val="24"/>
        </w:rPr>
        <w:t xml:space="preserve"> First issue of this Edition, 1900. Reprinted 1922, 1931. </w:t>
      </w:r>
      <w:r>
        <w:rPr>
          <w:rFonts w:ascii="Times New Roman" w:eastAsia="Times New Roman" w:hAnsi="Times New Roman" w:cs="Times New Roman"/>
          <w:sz w:val="24"/>
          <w:szCs w:val="24"/>
        </w:rPr>
        <w:t xml:space="preserve">Web. 14 Oct. 2014. Document URL. Fordham University. </w:t>
      </w: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p>
    <w:p w:rsidR="00F25F32" w:rsidRPr="00F35B07" w:rsidRDefault="00F25F32" w:rsidP="00F25F32">
      <w:pPr>
        <w:widowControl w:val="0"/>
        <w:autoSpaceDE w:val="0"/>
        <w:autoSpaceDN w:val="0"/>
        <w:adjustRightInd w:val="0"/>
        <w:spacing w:after="0" w:line="240" w:lineRule="auto"/>
        <w:ind w:firstLine="720"/>
        <w:rPr>
          <w:rFonts w:ascii="Times New Roman" w:eastAsia="MS Mincho" w:hAnsi="Times New Roman" w:cs="Times New Roman"/>
          <w:sz w:val="24"/>
          <w:szCs w:val="24"/>
        </w:rPr>
      </w:pPr>
      <w:r w:rsidRPr="00F35B07">
        <w:rPr>
          <w:rFonts w:ascii="Times New Roman" w:eastAsia="Times New Roman" w:hAnsi="Times New Roman" w:cs="Times New Roman"/>
          <w:sz w:val="24"/>
          <w:szCs w:val="24"/>
        </w:rPr>
        <w:t xml:space="preserve">William Caxton translated “The Golden Legend: St. Margaret” in the 1400s, and, according to Wikipedia, died the year Columbus would discover the New World. Originally published in Italian more than seven hundred years ago, the stories of the saints that de Voragine collected were translated by William Caxton into English, including this translation of the original story of St. Margaret, including her purity, imprisonment, torture, discourse with demons, and eventual execution. There are revealing and key </w:t>
      </w:r>
      <w:r w:rsidRPr="00F35B07">
        <w:rPr>
          <w:rFonts w:ascii="Times New Roman" w:eastAsia="Times New Roman" w:hAnsi="Times New Roman" w:cs="Times New Roman"/>
          <w:i/>
          <w:sz w:val="24"/>
          <w:szCs w:val="24"/>
        </w:rPr>
        <w:t>additions</w:t>
      </w:r>
      <w:r w:rsidRPr="00F35B07">
        <w:rPr>
          <w:rFonts w:ascii="Times New Roman" w:eastAsia="Times New Roman" w:hAnsi="Times New Roman" w:cs="Times New Roman"/>
          <w:sz w:val="24"/>
          <w:szCs w:val="24"/>
        </w:rPr>
        <w:t xml:space="preserve"> to the text, not seen in that authored by Teochimus. Also, interestingly, unlike Teochimus who claimed to have known Margaret and therefore absolutely believed her story, Caxton includes the original skepticism of de Voragine, who adds, after the miraculous immersion of Margaret from the dragon, “</w:t>
      </w:r>
      <w:r w:rsidRPr="00F35B07">
        <w:rPr>
          <w:rFonts w:ascii="Times New Roman" w:eastAsia="MS Mincho" w:hAnsi="Times New Roman" w:cs="Times New Roman"/>
          <w:sz w:val="24"/>
          <w:szCs w:val="24"/>
        </w:rPr>
        <w:t>in another place it is said that he swallowed her into his belly, she making the sign of the cross […] so she issued out all whole and sound. This swallow and breaking of the belly of the dragon is said</w:t>
      </w:r>
      <w:r>
        <w:rPr>
          <w:rFonts w:ascii="Times New Roman" w:eastAsia="MS Mincho" w:hAnsi="Times New Roman" w:cs="Times New Roman"/>
          <w:sz w:val="24"/>
          <w:szCs w:val="24"/>
        </w:rPr>
        <w:t xml:space="preserve"> that it is apocryphal” (Caxton</w:t>
      </w:r>
      <w:r w:rsidRPr="00F35B07">
        <w:rPr>
          <w:rFonts w:ascii="Times New Roman" w:eastAsia="MS Mincho" w:hAnsi="Times New Roman" w:cs="Times New Roman"/>
          <w:sz w:val="24"/>
          <w:szCs w:val="24"/>
        </w:rPr>
        <w:t xml:space="preserve"> 2). Yes, even miracles can be </w:t>
      </w:r>
      <w:r w:rsidRPr="00F35B07">
        <w:rPr>
          <w:rFonts w:ascii="Times New Roman" w:eastAsia="MS Mincho" w:hAnsi="Times New Roman" w:cs="Times New Roman"/>
          <w:i/>
          <w:sz w:val="24"/>
          <w:szCs w:val="24"/>
        </w:rPr>
        <w:t>too</w:t>
      </w:r>
      <w:r w:rsidRPr="00F35B07">
        <w:rPr>
          <w:rFonts w:ascii="Times New Roman" w:eastAsia="MS Mincho" w:hAnsi="Times New Roman" w:cs="Times New Roman"/>
          <w:sz w:val="24"/>
          <w:szCs w:val="24"/>
        </w:rPr>
        <w:t xml:space="preserve"> miraculous.</w:t>
      </w:r>
    </w:p>
    <w:p w:rsidR="00F25F32" w:rsidRPr="00F35B07" w:rsidRDefault="00F25F32" w:rsidP="00F25F32">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F35B07">
        <w:rPr>
          <w:rFonts w:ascii="Times New Roman" w:eastAsia="MS Mincho" w:hAnsi="Times New Roman" w:cs="Times New Roman"/>
          <w:sz w:val="24"/>
          <w:szCs w:val="24"/>
        </w:rPr>
        <w:t xml:space="preserve">Though skeptical of the miraculous here, de Voragine adds no doubt to the identity of the demon Margaret all but wrestles, which is </w:t>
      </w:r>
      <w:r w:rsidRPr="00F35B07">
        <w:rPr>
          <w:rFonts w:ascii="Times New Roman" w:eastAsia="MS Mincho" w:hAnsi="Times New Roman" w:cs="Times New Roman"/>
          <w:i/>
          <w:sz w:val="24"/>
          <w:szCs w:val="24"/>
        </w:rPr>
        <w:t>not found</w:t>
      </w:r>
      <w:r w:rsidRPr="00F35B07">
        <w:rPr>
          <w:rFonts w:ascii="Times New Roman" w:eastAsia="MS Mincho" w:hAnsi="Times New Roman" w:cs="Times New Roman"/>
          <w:sz w:val="24"/>
          <w:szCs w:val="24"/>
        </w:rPr>
        <w:t xml:space="preserve"> in the original document we saw in class supposedly authored by one named Teochimus; Although the original document and Caxton agree that the demon came from a banishment of that of King Solomon, accidentally set free by the Babylonians, in the Teochimus document the demon only provides his identity as “”whatever </w:t>
      </w:r>
      <w:r w:rsidRPr="00F35B07">
        <w:rPr>
          <w:rFonts w:ascii="Times New Roman" w:eastAsia="MS Mincho" w:hAnsi="Times New Roman" w:cs="Times New Roman"/>
          <w:sz w:val="24"/>
          <w:szCs w:val="24"/>
        </w:rPr>
        <w:lastRenderedPageBreak/>
        <w:t>my name may be, I have been man’s greatest foe after Beelzebub</w:t>
      </w:r>
      <w:r w:rsidRPr="00F35B07">
        <w:rPr>
          <w:rFonts w:ascii="Times New Roman" w:eastAsia="MS Mincho" w:hAnsi="Times New Roman" w:cs="Times New Roman"/>
          <w:sz w:val="24"/>
          <w:szCs w:val="24"/>
          <w:vertAlign w:val="superscript"/>
        </w:rPr>
        <w:footnoteReference w:id="1"/>
      </w:r>
      <w:r w:rsidRPr="00F35B07">
        <w:rPr>
          <w:rFonts w:ascii="Times New Roman" w:eastAsia="MS Mincho" w:hAnsi="Times New Roman" w:cs="Times New Roman"/>
          <w:sz w:val="24"/>
          <w:szCs w:val="24"/>
        </w:rPr>
        <w:t xml:space="preserve">” (Teochimus, 7). Caxton/de Voragine’s version chillingly renders the demon’s name as “Veltis, one of them whom Solomon closed in a vessel of brass”, on whom much information concerning the event of being bound by King Solomon is available </w:t>
      </w:r>
      <w:r>
        <w:rPr>
          <w:rFonts w:ascii="Times New Roman" w:eastAsia="MS Mincho" w:hAnsi="Times New Roman" w:cs="Times New Roman"/>
          <w:sz w:val="24"/>
          <w:szCs w:val="24"/>
        </w:rPr>
        <w:t>(Caxton</w:t>
      </w:r>
      <w:r w:rsidRPr="00F35B07">
        <w:rPr>
          <w:rFonts w:ascii="Times New Roman" w:eastAsia="MS Mincho" w:hAnsi="Times New Roman" w:cs="Times New Roman"/>
          <w:sz w:val="24"/>
          <w:szCs w:val="24"/>
        </w:rPr>
        <w:t xml:space="preserve"> 2). The identity of the demon opens a </w:t>
      </w:r>
      <w:r w:rsidRPr="00F35B07">
        <w:rPr>
          <w:rFonts w:ascii="Times New Roman" w:eastAsia="MS Mincho" w:hAnsi="Times New Roman" w:cs="Times New Roman"/>
          <w:i/>
          <w:sz w:val="24"/>
          <w:szCs w:val="24"/>
        </w:rPr>
        <w:t>world</w:t>
      </w:r>
      <w:r w:rsidRPr="00F35B07">
        <w:rPr>
          <w:rFonts w:ascii="Times New Roman" w:eastAsia="MS Mincho" w:hAnsi="Times New Roman" w:cs="Times New Roman"/>
          <w:sz w:val="24"/>
          <w:szCs w:val="24"/>
        </w:rPr>
        <w:t xml:space="preserve"> of information.</w:t>
      </w:r>
    </w:p>
    <w:p w:rsidR="00F25F32" w:rsidRDefault="00F25F32" w:rsidP="00F25F32">
      <w:pPr>
        <w:widowControl w:val="0"/>
        <w:autoSpaceDE w:val="0"/>
        <w:autoSpaceDN w:val="0"/>
        <w:adjustRightInd w:val="0"/>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 xml:space="preserve">The translation also refers to the villain Olybrius as “provost”, or “Provost Olybrius” in quite a few places. The old translation of provost involves definitions that refer both to a clerical (Olybrius is even referred to as “the minister” in one instance) or a bailiff, which suggests incarceration related work; this could be a word play on part of the author, be it de Voragine or Caxton, however, is impossible to tell. More outstanding in this version also is the conversion of and </w:t>
      </w:r>
      <w:r w:rsidRPr="00F35B07">
        <w:rPr>
          <w:rFonts w:ascii="Times New Roman" w:eastAsia="MS Mincho" w:hAnsi="Times New Roman" w:cs="Times New Roman"/>
          <w:i/>
          <w:sz w:val="24"/>
          <w:szCs w:val="24"/>
        </w:rPr>
        <w:t>beheading</w:t>
      </w:r>
      <w:r w:rsidRPr="00F35B07">
        <w:rPr>
          <w:rFonts w:ascii="Times New Roman" w:eastAsia="MS Mincho" w:hAnsi="Times New Roman" w:cs="Times New Roman"/>
          <w:sz w:val="24"/>
          <w:szCs w:val="24"/>
        </w:rPr>
        <w:t xml:space="preserve"> of five thousand men (not including women and children ac</w:t>
      </w:r>
      <w:r>
        <w:rPr>
          <w:rFonts w:ascii="Times New Roman" w:eastAsia="MS Mincho" w:hAnsi="Times New Roman" w:cs="Times New Roman"/>
          <w:sz w:val="24"/>
          <w:szCs w:val="24"/>
        </w:rPr>
        <w:t>cording to Teochimus (Teochimus</w:t>
      </w:r>
      <w:r w:rsidRPr="00F35B07">
        <w:rPr>
          <w:rFonts w:ascii="Times New Roman" w:eastAsia="MS Mincho" w:hAnsi="Times New Roman" w:cs="Times New Roman"/>
          <w:sz w:val="24"/>
          <w:szCs w:val="24"/>
        </w:rPr>
        <w:t xml:space="preserve"> 7)) – a detail easily over looked in Teochimus’ version simply because it is so dense and drawn out; does the immediate execution of five thousand converts still qualify as miraculous? And if so, isn’t this a larger sacrifice than Margaret’s?</w:t>
      </w:r>
    </w:p>
    <w:p w:rsidR="00F25F32" w:rsidRDefault="00F25F32" w:rsidP="00F25F32">
      <w:pPr>
        <w:widowControl w:val="0"/>
        <w:autoSpaceDE w:val="0"/>
        <w:autoSpaceDN w:val="0"/>
        <w:adjustRightInd w:val="0"/>
        <w:spacing w:after="0" w:line="240" w:lineRule="auto"/>
        <w:rPr>
          <w:rFonts w:ascii="Times New Roman" w:eastAsia="MS Mincho" w:hAnsi="Times New Roman" w:cs="Times New Roman"/>
          <w:sz w:val="24"/>
          <w:szCs w:val="24"/>
        </w:rPr>
      </w:pPr>
    </w:p>
    <w:p w:rsidR="00081F9D" w:rsidRPr="000C74D9" w:rsidRDefault="00081F9D" w:rsidP="00081F9D">
      <w:pPr>
        <w:rPr>
          <w:rFonts w:ascii="Times New Roman" w:hAnsi="Times New Roman" w:cs="Times New Roman"/>
          <w:sz w:val="24"/>
          <w:szCs w:val="24"/>
        </w:rPr>
      </w:pPr>
      <w:r w:rsidRPr="000C74D9">
        <w:rPr>
          <w:rFonts w:ascii="Times New Roman" w:hAnsi="Times New Roman" w:cs="Times New Roman"/>
          <w:sz w:val="24"/>
          <w:szCs w:val="24"/>
        </w:rPr>
        <w:t xml:space="preserve">Gravdal, Katherine. </w:t>
      </w:r>
      <w:r w:rsidRPr="000C74D9">
        <w:rPr>
          <w:rFonts w:ascii="Times New Roman" w:hAnsi="Times New Roman" w:cs="Times New Roman"/>
          <w:i/>
          <w:sz w:val="24"/>
          <w:szCs w:val="24"/>
        </w:rPr>
        <w:t>Ravishing Maidens: Writing Rape in Medieval French Literature and Law</w:t>
      </w:r>
      <w:r w:rsidRPr="000C74D9">
        <w:rPr>
          <w:rFonts w:ascii="Times New Roman" w:hAnsi="Times New Roman" w:cs="Times New Roman"/>
          <w:sz w:val="24"/>
          <w:szCs w:val="24"/>
        </w:rPr>
        <w:t xml:space="preserve">. University of Pennsylvania Press: 2001. Print. </w:t>
      </w:r>
    </w:p>
    <w:p w:rsidR="00081F9D" w:rsidRDefault="00081F9D" w:rsidP="00081F9D">
      <w:pPr>
        <w:ind w:firstLine="720"/>
        <w:rPr>
          <w:rFonts w:ascii="Times New Roman" w:hAnsi="Times New Roman" w:cs="Times New Roman"/>
          <w:sz w:val="24"/>
          <w:szCs w:val="24"/>
        </w:rPr>
      </w:pPr>
      <w:r>
        <w:rPr>
          <w:rFonts w:ascii="Times New Roman" w:hAnsi="Times New Roman" w:cs="Times New Roman"/>
          <w:sz w:val="24"/>
          <w:szCs w:val="24"/>
        </w:rPr>
        <w:t>Gravdal presented a theory I had not yet come across in my research: the consumption of Margaret by the dragon was analogous to rape:</w:t>
      </w:r>
    </w:p>
    <w:p w:rsidR="00081F9D" w:rsidRPr="000C74D9" w:rsidRDefault="00081F9D" w:rsidP="00081F9D">
      <w:pPr>
        <w:ind w:left="720"/>
        <w:rPr>
          <w:rFonts w:ascii="Times New Roman" w:hAnsi="Times New Roman" w:cs="Times New Roman"/>
          <w:sz w:val="24"/>
          <w:szCs w:val="24"/>
        </w:rPr>
      </w:pPr>
      <w:r>
        <w:rPr>
          <w:rFonts w:ascii="Times New Roman" w:hAnsi="Times New Roman" w:cs="Times New Roman"/>
          <w:sz w:val="24"/>
          <w:szCs w:val="24"/>
        </w:rPr>
        <w:t>“T</w:t>
      </w:r>
      <w:r w:rsidRPr="000C74D9">
        <w:rPr>
          <w:rFonts w:ascii="Times New Roman" w:hAnsi="Times New Roman" w:cs="Times New Roman"/>
          <w:sz w:val="24"/>
          <w:szCs w:val="24"/>
        </w:rPr>
        <w:t>his startling scene is explained to audiences in the following lines, when a second devil confessed that the ‘devouring’ was an attempted rape: ‘I have sent my brother Rufon, in the form of a dragon, to swallow you and destroy all memory of you on earth, and tarnish your virginity” (</w:t>
      </w:r>
      <w:r>
        <w:rPr>
          <w:rFonts w:ascii="Times New Roman" w:hAnsi="Times New Roman" w:cs="Times New Roman"/>
          <w:sz w:val="24"/>
          <w:szCs w:val="24"/>
        </w:rPr>
        <w:t xml:space="preserve">Gravdal </w:t>
      </w:r>
      <w:r w:rsidRPr="000C74D9">
        <w:rPr>
          <w:rFonts w:ascii="Times New Roman" w:hAnsi="Times New Roman" w:cs="Times New Roman"/>
          <w:sz w:val="24"/>
          <w:szCs w:val="24"/>
        </w:rPr>
        <w:t>37).</w:t>
      </w:r>
    </w:p>
    <w:p w:rsidR="00081F9D" w:rsidRPr="000C74D9" w:rsidRDefault="00081F9D" w:rsidP="00081F9D">
      <w:pPr>
        <w:rPr>
          <w:rFonts w:ascii="Times New Roman" w:hAnsi="Times New Roman" w:cs="Times New Roman"/>
          <w:sz w:val="24"/>
          <w:szCs w:val="24"/>
        </w:rPr>
      </w:pPr>
      <w:r>
        <w:rPr>
          <w:rFonts w:ascii="Times New Roman" w:hAnsi="Times New Roman" w:cs="Times New Roman"/>
          <w:sz w:val="24"/>
          <w:szCs w:val="24"/>
        </w:rPr>
        <w:tab/>
        <w:t>Now that I consider it, this doesn’t really surprise me, but does cause me to ask even more questions about the spectrum of obsession with sex during this period. If virgins, women were highly valued and/or venerated</w:t>
      </w:r>
      <w:r w:rsidRPr="007127B3">
        <w:rPr>
          <w:rFonts w:ascii="Times New Roman" w:hAnsi="Times New Roman" w:cs="Times New Roman"/>
          <w:sz w:val="24"/>
          <w:szCs w:val="24"/>
        </w:rPr>
        <w:t xml:space="preserve">. Virginity has a concept in history and today of being something that can be “taken.” Adding to the fuel that women are simply objects, they possess a thing desirable and simultaneously responsible for damning them to hell if they should </w:t>
      </w:r>
      <w:r w:rsidRPr="007127B3">
        <w:rPr>
          <w:rFonts w:ascii="Times New Roman" w:hAnsi="Times New Roman" w:cs="Times New Roman"/>
          <w:i/>
          <w:sz w:val="24"/>
          <w:szCs w:val="24"/>
        </w:rPr>
        <w:t xml:space="preserve">“give it away” </w:t>
      </w:r>
      <w:r w:rsidRPr="007127B3">
        <w:rPr>
          <w:rFonts w:ascii="Times New Roman" w:hAnsi="Times New Roman" w:cs="Times New Roman"/>
          <w:sz w:val="24"/>
          <w:szCs w:val="24"/>
        </w:rPr>
        <w:t>to anyone whom the church or her parents or God deem unfit.</w:t>
      </w:r>
      <w:r>
        <w:t xml:space="preserve"> </w:t>
      </w:r>
    </w:p>
    <w:p w:rsidR="00081F9D" w:rsidRDefault="00081F9D" w:rsidP="00F25F32">
      <w:pPr>
        <w:widowControl w:val="0"/>
        <w:autoSpaceDE w:val="0"/>
        <w:autoSpaceDN w:val="0"/>
        <w:adjustRightInd w:val="0"/>
        <w:spacing w:after="0" w:line="240" w:lineRule="auto"/>
        <w:rPr>
          <w:rFonts w:ascii="Times New Roman" w:eastAsia="MS Mincho" w:hAnsi="Times New Roman" w:cs="Times New Roman"/>
          <w:sz w:val="24"/>
          <w:szCs w:val="24"/>
        </w:rPr>
      </w:pPr>
    </w:p>
    <w:p w:rsidR="00F25F32" w:rsidRDefault="00F25F32" w:rsidP="00F25F32">
      <w:pPr>
        <w:spacing w:after="0" w:line="240" w:lineRule="auto"/>
        <w:rPr>
          <w:rFonts w:ascii="Times New Roman" w:hAnsi="Times New Roman" w:cs="Times New Roman"/>
          <w:sz w:val="24"/>
          <w:szCs w:val="24"/>
        </w:rPr>
      </w:pPr>
      <w:r w:rsidRPr="0007765D">
        <w:rPr>
          <w:rFonts w:ascii="Times New Roman" w:hAnsi="Times New Roman" w:cs="Times New Roman"/>
          <w:sz w:val="24"/>
          <w:szCs w:val="24"/>
        </w:rPr>
        <w:t xml:space="preserve">Kelly, Kathleen Coyne,. </w:t>
      </w:r>
      <w:r w:rsidRPr="0007765D">
        <w:rPr>
          <w:rFonts w:ascii="Times New Roman" w:hAnsi="Times New Roman" w:cs="Times New Roman"/>
          <w:i/>
          <w:sz w:val="24"/>
          <w:szCs w:val="24"/>
        </w:rPr>
        <w:t>Performing Virginity and Testing Chastity in the Medieval Ages</w:t>
      </w:r>
      <w:r w:rsidRPr="0007765D">
        <w:rPr>
          <w:rFonts w:ascii="Times New Roman" w:hAnsi="Times New Roman" w:cs="Times New Roman"/>
          <w:sz w:val="24"/>
          <w:szCs w:val="24"/>
        </w:rPr>
        <w:t>. New York: Routledge. 2000.</w:t>
      </w:r>
    </w:p>
    <w:p w:rsidR="00F25F32" w:rsidRPr="0007765D" w:rsidRDefault="00F25F32" w:rsidP="00F25F32">
      <w:pPr>
        <w:spacing w:after="0" w:line="240" w:lineRule="auto"/>
        <w:rPr>
          <w:rFonts w:ascii="Times New Roman" w:hAnsi="Times New Roman" w:cs="Times New Roman"/>
          <w:sz w:val="24"/>
          <w:szCs w:val="24"/>
        </w:rPr>
      </w:pPr>
    </w:p>
    <w:p w:rsidR="00F25F32" w:rsidRPr="0007765D" w:rsidRDefault="00F25F32" w:rsidP="00F25F32">
      <w:pPr>
        <w:spacing w:after="0" w:line="240" w:lineRule="auto"/>
        <w:ind w:firstLine="360"/>
        <w:rPr>
          <w:rFonts w:ascii="Times New Roman" w:hAnsi="Times New Roman" w:cs="Times New Roman"/>
          <w:sz w:val="24"/>
          <w:szCs w:val="24"/>
        </w:rPr>
      </w:pPr>
      <w:r w:rsidRPr="0007765D">
        <w:rPr>
          <w:rFonts w:ascii="Times New Roman" w:hAnsi="Times New Roman" w:cs="Times New Roman"/>
          <w:sz w:val="24"/>
          <w:szCs w:val="24"/>
        </w:rPr>
        <w:t>Dr. Kelly, professor at Northeastern University, author of two books and dozens of articles and essays on medieval literature, states in this book that “the concept of virginity is developed within and across a number of different discourses in the Medieval Ages: medical and scientific treatises, patristic writings and the medieval commentaries on them, legal records […] judicial ordeals[…] and literary texts” but most importantly, as I suspected, “defining and claiming virginity in the early, formative centuries of the church helped to</w:t>
      </w:r>
      <w:r>
        <w:rPr>
          <w:rFonts w:ascii="Times New Roman" w:hAnsi="Times New Roman" w:cs="Times New Roman"/>
          <w:sz w:val="24"/>
          <w:szCs w:val="24"/>
        </w:rPr>
        <w:t xml:space="preserve"> consolidate Church authority”</w:t>
      </w:r>
    </w:p>
    <w:p w:rsidR="00F25F32" w:rsidRPr="00775688" w:rsidRDefault="00F25F32" w:rsidP="00F25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(Kelly 1-2, 5). I believe this is true due to the manipulation that was discovered of the text of Saint Margaret that added a stress to virginity that was not there in the original story – as time and the church progressed, the importance of the concept of virginity to the church increased, </w:t>
      </w:r>
      <w:r>
        <w:rPr>
          <w:rFonts w:ascii="Times New Roman" w:hAnsi="Times New Roman" w:cs="Times New Roman"/>
          <w:sz w:val="24"/>
          <w:szCs w:val="24"/>
        </w:rPr>
        <w:lastRenderedPageBreak/>
        <w:t xml:space="preserve">and thus already virginal martyrs’ legends were made </w:t>
      </w:r>
      <w:r>
        <w:rPr>
          <w:rFonts w:ascii="Times New Roman" w:hAnsi="Times New Roman" w:cs="Times New Roman"/>
          <w:i/>
          <w:sz w:val="24"/>
          <w:szCs w:val="24"/>
        </w:rPr>
        <w:t xml:space="preserve">more </w:t>
      </w:r>
      <w:r>
        <w:rPr>
          <w:rFonts w:ascii="Times New Roman" w:hAnsi="Times New Roman" w:cs="Times New Roman"/>
          <w:sz w:val="24"/>
          <w:szCs w:val="24"/>
        </w:rPr>
        <w:t xml:space="preserve">virginal, if possible. Dr. Kelly is most concerned with the transitional use of the importance of virginity through the church’s need to consolidate power and hold sway over its followers. Not only should a woman be a virgin if not married, but she should be pristinely virginal, in body and mind, and in so doing does she best serve Christ and love God. </w:t>
      </w:r>
    </w:p>
    <w:p w:rsidR="00F25F32" w:rsidRPr="00F35B07" w:rsidRDefault="00F25F32" w:rsidP="00F25F32">
      <w:pPr>
        <w:widowControl w:val="0"/>
        <w:autoSpaceDE w:val="0"/>
        <w:autoSpaceDN w:val="0"/>
        <w:adjustRightInd w:val="0"/>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Reames, Sherry L., “Margaret of Antioch” </w:t>
      </w:r>
      <w:r w:rsidRPr="00F35B07">
        <w:rPr>
          <w:rFonts w:ascii="Times New Roman" w:eastAsia="Times New Roman" w:hAnsi="Times New Roman" w:cs="Times New Roman"/>
          <w:i/>
          <w:sz w:val="24"/>
          <w:szCs w:val="24"/>
        </w:rPr>
        <w:t>Middle English Legends of Women Saints.</w:t>
      </w:r>
      <w:r w:rsidRPr="00F35B07">
        <w:rPr>
          <w:rFonts w:ascii="Times New Roman" w:eastAsia="Times New Roman" w:hAnsi="Times New Roman" w:cs="Times New Roman"/>
          <w:sz w:val="24"/>
          <w:szCs w:val="24"/>
        </w:rPr>
        <w:t xml:space="preserve"> Kalamazoo, MI: Medieval Institute Publication, 2003.</w:t>
      </w:r>
      <w:r>
        <w:rPr>
          <w:rFonts w:ascii="Times New Roman" w:eastAsia="Times New Roman" w:hAnsi="Times New Roman" w:cs="Times New Roman"/>
          <w:sz w:val="24"/>
          <w:szCs w:val="24"/>
        </w:rPr>
        <w:t xml:space="preserve"> 1-2. Web. 14 Oct. 2014. </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ind w:firstLine="720"/>
        <w:rPr>
          <w:rFonts w:ascii="Times New Roman" w:eastAsia="MS Mincho" w:hAnsi="Times New Roman" w:cs="Times New Roman"/>
          <w:sz w:val="24"/>
          <w:szCs w:val="24"/>
        </w:rPr>
      </w:pPr>
      <w:r w:rsidRPr="00F35B07">
        <w:rPr>
          <w:rFonts w:ascii="Times New Roman" w:eastAsia="Times New Roman" w:hAnsi="Times New Roman" w:cs="Times New Roman"/>
          <w:sz w:val="24"/>
          <w:szCs w:val="24"/>
        </w:rPr>
        <w:t>Reames is an English profes</w:t>
      </w:r>
      <w:r>
        <w:rPr>
          <w:rFonts w:ascii="Times New Roman" w:eastAsia="Times New Roman" w:hAnsi="Times New Roman" w:cs="Times New Roman"/>
          <w:sz w:val="24"/>
          <w:szCs w:val="24"/>
        </w:rPr>
        <w:t>sor of English at Wisconsin University</w:t>
      </w:r>
      <w:r w:rsidRPr="00F35B07">
        <w:rPr>
          <w:rFonts w:ascii="Times New Roman" w:eastAsia="Times New Roman" w:hAnsi="Times New Roman" w:cs="Times New Roman"/>
          <w:sz w:val="24"/>
          <w:szCs w:val="24"/>
        </w:rPr>
        <w:t>. She is the editor of a great number of books concerning medieval texts, an example of which is accessible at the University of Rochester website (</w:t>
      </w:r>
      <w:hyperlink r:id="rId6" w:history="1">
        <w:r w:rsidRPr="00F35B07">
          <w:rPr>
            <w:rFonts w:ascii="Times New Roman" w:eastAsia="Times New Roman" w:hAnsi="Times New Roman" w:cs="Times New Roman"/>
            <w:sz w:val="24"/>
            <w:szCs w:val="24"/>
          </w:rPr>
          <w:t>http://d.lib.rochester.edu/camelot/ creator/sherry-reames</w:t>
        </w:r>
      </w:hyperlink>
      <w:r w:rsidRPr="00F35B07">
        <w:rPr>
          <w:rFonts w:ascii="Times New Roman" w:eastAsia="Times New Roman" w:hAnsi="Times New Roman" w:cs="Times New Roman"/>
          <w:sz w:val="24"/>
          <w:szCs w:val="24"/>
        </w:rPr>
        <w:t>). Reames founded the Hagiography Society in 1990. The “Sherry L. Reames Graduate Student Travel Award for Hagiographical Studies”, funded by the Hagiography Society, provides a student with a staggering three hundred dollars “</w:t>
      </w:r>
      <w:r w:rsidRPr="00F35B07">
        <w:rPr>
          <w:rFonts w:ascii="Times New Roman" w:eastAsia="MS Mincho" w:hAnsi="Times New Roman" w:cs="Times New Roman"/>
          <w:sz w:val="24"/>
          <w:szCs w:val="24"/>
        </w:rPr>
        <w:t xml:space="preserve">to be used toward travel to present at the </w:t>
      </w:r>
      <w:hyperlink r:id="rId7" w:history="1">
        <w:r w:rsidRPr="00F35B07">
          <w:rPr>
            <w:rFonts w:ascii="Times New Roman" w:eastAsia="MS Mincho" w:hAnsi="Times New Roman" w:cs="Times New Roman"/>
            <w:sz w:val="24"/>
            <w:szCs w:val="24"/>
          </w:rPr>
          <w:t>International Congress on Medieval Studies</w:t>
        </w:r>
      </w:hyperlink>
      <w:r w:rsidRPr="00F35B07">
        <w:rPr>
          <w:rFonts w:ascii="Times New Roman" w:eastAsia="MS Mincho" w:hAnsi="Times New Roman" w:cs="Times New Roman"/>
          <w:sz w:val="24"/>
          <w:szCs w:val="24"/>
        </w:rPr>
        <w:t>, held annually at the University of Western Michigan in Kalamazoo, Michigan.”</w:t>
      </w:r>
    </w:p>
    <w:p w:rsidR="00F25F32" w:rsidRPr="00F35B07" w:rsidRDefault="00F25F32" w:rsidP="00F25F32">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Reames</w:t>
      </w:r>
      <w:r>
        <w:rPr>
          <w:rFonts w:ascii="Times New Roman" w:eastAsia="MS Mincho" w:hAnsi="Times New Roman" w:cs="Times New Roman"/>
          <w:sz w:val="24"/>
          <w:szCs w:val="24"/>
        </w:rPr>
        <w:t>’</w:t>
      </w:r>
      <w:r w:rsidRPr="00F35B07">
        <w:rPr>
          <w:rFonts w:ascii="Times New Roman" w:eastAsia="MS Mincho" w:hAnsi="Times New Roman" w:cs="Times New Roman"/>
          <w:sz w:val="24"/>
          <w:szCs w:val="24"/>
        </w:rPr>
        <w:t xml:space="preserve"> discussion of the legend of St. Margaret, provides readers with a background understanding of how the story both inspired and frustrated its readers: “Despite clerical discomfort with the dragon scene, it could not be dropped completely from vernacular lives of Margret because it served as the source for familiar iconography of this saint</w:t>
      </w:r>
      <w:r>
        <w:rPr>
          <w:rFonts w:ascii="Times New Roman" w:eastAsia="MS Mincho" w:hAnsi="Times New Roman" w:cs="Times New Roman"/>
          <w:sz w:val="24"/>
          <w:szCs w:val="24"/>
        </w:rPr>
        <w:t>” (Reames</w:t>
      </w:r>
      <w:r w:rsidRPr="00F35B07">
        <w:rPr>
          <w:rFonts w:ascii="Times New Roman" w:eastAsia="MS Mincho" w:hAnsi="Times New Roman" w:cs="Times New Roman"/>
          <w:sz w:val="24"/>
          <w:szCs w:val="24"/>
        </w:rPr>
        <w:t xml:space="preserve"> 1). This would be due to the fact that a “wide range of believers might turn to this saint in times of trouble, [including] petitions for the preservation of chastity, safe childbirth and healthy offspring, protection from other kinds of danger, and forgiveness of sins” (Reames 1). </w:t>
      </w:r>
    </w:p>
    <w:p w:rsidR="00F25F32" w:rsidRDefault="00F25F32" w:rsidP="00F25F32">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Despite the lengt</w:t>
      </w:r>
      <w:r>
        <w:rPr>
          <w:rFonts w:ascii="Times New Roman" w:eastAsia="MS Mincho" w:hAnsi="Times New Roman" w:cs="Times New Roman"/>
          <w:sz w:val="24"/>
          <w:szCs w:val="24"/>
        </w:rPr>
        <w:t xml:space="preserve">h, breadth and depth </w:t>
      </w:r>
      <w:r w:rsidRPr="00F35B07">
        <w:rPr>
          <w:rFonts w:ascii="Times New Roman" w:eastAsia="MS Mincho" w:hAnsi="Times New Roman" w:cs="Times New Roman"/>
          <w:sz w:val="24"/>
          <w:szCs w:val="24"/>
        </w:rPr>
        <w:t xml:space="preserve">of the story, imagery (including dragons!), spirituality, mention of heaven, hell, demons, and brutalities, an allusion to the tension of a spiritual war that takes place between God and Satan over every soul, “In most versions of the legend, the </w:t>
      </w:r>
      <w:r>
        <w:rPr>
          <w:rFonts w:ascii="Times New Roman" w:eastAsia="MS Mincho" w:hAnsi="Times New Roman" w:cs="Times New Roman"/>
          <w:sz w:val="24"/>
          <w:szCs w:val="24"/>
        </w:rPr>
        <w:t>devil’s main target is chastity” (Reames 2). How convenient for the devil to have to concern himself with</w:t>
      </w:r>
      <w:r w:rsidRPr="00F35B07">
        <w:rPr>
          <w:rFonts w:ascii="Times New Roman" w:eastAsia="MS Mincho" w:hAnsi="Times New Roman" w:cs="Times New Roman"/>
          <w:sz w:val="24"/>
          <w:szCs w:val="24"/>
        </w:rPr>
        <w:t xml:space="preserve"> murder, lies, greed or any of the deadly sins</w:t>
      </w:r>
      <w:r>
        <w:rPr>
          <w:rFonts w:ascii="Times New Roman" w:eastAsia="MS Mincho" w:hAnsi="Times New Roman" w:cs="Times New Roman"/>
          <w:sz w:val="24"/>
          <w:szCs w:val="24"/>
        </w:rPr>
        <w:t>, in my opinion, more terrible sins than lack of a virginal state</w:t>
      </w:r>
      <w:r w:rsidRPr="00F35B07">
        <w:rPr>
          <w:rFonts w:ascii="Times New Roman" w:eastAsia="MS Mincho" w:hAnsi="Times New Roman" w:cs="Times New Roman"/>
          <w:sz w:val="24"/>
          <w:szCs w:val="24"/>
        </w:rPr>
        <w:t xml:space="preserve">. The focus on sexuality – whether chastity or the results of reproduction – is troublesome to me. Surely if a man had emerged from the dragon (as men are born too!) his patronage would not be childbirth. If a man stepped out of the dragon, he may very likely be the patron saint of soldiers. It is honorable to the character of Margaret (a young, brave woman) that she is remembered for more than simply being a virgin, but for being strong and steadfast and is called upon by many. </w:t>
      </w:r>
    </w:p>
    <w:p w:rsidR="00081F9D" w:rsidRDefault="00081F9D" w:rsidP="00081F9D">
      <w:pPr>
        <w:spacing w:after="0" w:line="240" w:lineRule="auto"/>
        <w:rPr>
          <w:rFonts w:ascii="Times New Roman" w:eastAsia="MS Mincho" w:hAnsi="Times New Roman" w:cs="Times New Roman"/>
          <w:sz w:val="24"/>
          <w:szCs w:val="24"/>
        </w:rPr>
      </w:pPr>
    </w:p>
    <w:p w:rsidR="00081F9D" w:rsidRPr="000C74D9" w:rsidRDefault="00081F9D" w:rsidP="00081F9D">
      <w:pPr>
        <w:rPr>
          <w:rFonts w:ascii="Times New Roman" w:hAnsi="Times New Roman" w:cs="Times New Roman"/>
          <w:sz w:val="24"/>
          <w:szCs w:val="24"/>
        </w:rPr>
      </w:pPr>
      <w:r w:rsidRPr="000C74D9">
        <w:rPr>
          <w:rFonts w:ascii="Times New Roman" w:hAnsi="Times New Roman" w:cs="Times New Roman"/>
          <w:sz w:val="24"/>
          <w:szCs w:val="24"/>
        </w:rPr>
        <w:t xml:space="preserve">Riches, Sam; Salih, Sarah. </w:t>
      </w:r>
      <w:r w:rsidRPr="000C74D9">
        <w:rPr>
          <w:rFonts w:ascii="Times New Roman" w:hAnsi="Times New Roman" w:cs="Times New Roman"/>
          <w:i/>
          <w:sz w:val="24"/>
          <w:szCs w:val="24"/>
        </w:rPr>
        <w:t>Gender and Holiness: Men, Women and Saints in Late Medieval Europe</w:t>
      </w:r>
      <w:r w:rsidRPr="000C74D9">
        <w:rPr>
          <w:rFonts w:ascii="Times New Roman" w:hAnsi="Times New Roman" w:cs="Times New Roman"/>
          <w:sz w:val="24"/>
          <w:szCs w:val="24"/>
        </w:rPr>
        <w:t xml:space="preserve">. Routledge Publishing: 2005. Print. </w:t>
      </w:r>
    </w:p>
    <w:p w:rsidR="00F25F32" w:rsidRPr="00081F9D" w:rsidRDefault="00081F9D" w:rsidP="00081F9D">
      <w:pPr>
        <w:ind w:firstLine="720"/>
        <w:rPr>
          <w:rFonts w:ascii="Times New Roman" w:hAnsi="Times New Roman" w:cs="Times New Roman"/>
          <w:sz w:val="24"/>
          <w:szCs w:val="24"/>
        </w:rPr>
      </w:pPr>
      <w:r>
        <w:rPr>
          <w:rFonts w:ascii="Times New Roman" w:hAnsi="Times New Roman" w:cs="Times New Roman"/>
          <w:sz w:val="24"/>
          <w:szCs w:val="24"/>
        </w:rPr>
        <w:t>Riches et al state that “</w:t>
      </w:r>
      <w:r w:rsidRPr="000C74D9">
        <w:rPr>
          <w:rFonts w:ascii="Times New Roman" w:hAnsi="Times New Roman" w:cs="Times New Roman"/>
          <w:sz w:val="24"/>
          <w:szCs w:val="24"/>
        </w:rPr>
        <w:t>Women must have turned to Margaret as a role model and a patron for feminine concerns other than childbirth, including sexual continence and faith</w:t>
      </w:r>
      <w:r>
        <w:rPr>
          <w:rFonts w:ascii="Times New Roman" w:hAnsi="Times New Roman" w:cs="Times New Roman"/>
          <w:sz w:val="24"/>
          <w:szCs w:val="24"/>
        </w:rPr>
        <w:t xml:space="preserve">” due to the fact that “female virginity, is, after all, well known as a concern of the medieval mind” (Riches, Salih 31, 66). However, due to the details of the story that many, including one of its earliest translators, William Caxton, found difficulty accepting as reality, </w:t>
      </w:r>
      <w:r w:rsidRPr="000C74D9">
        <w:rPr>
          <w:rFonts w:ascii="Times New Roman" w:hAnsi="Times New Roman" w:cs="Times New Roman"/>
          <w:sz w:val="24"/>
          <w:szCs w:val="24"/>
        </w:rPr>
        <w:t xml:space="preserve">“The cult </w:t>
      </w:r>
      <w:r>
        <w:rPr>
          <w:rFonts w:ascii="Times New Roman" w:hAnsi="Times New Roman" w:cs="Times New Roman"/>
          <w:sz w:val="24"/>
          <w:szCs w:val="24"/>
        </w:rPr>
        <w:t xml:space="preserve">[of St. Margaret] </w:t>
      </w:r>
      <w:r w:rsidRPr="000C74D9">
        <w:rPr>
          <w:rFonts w:ascii="Times New Roman" w:hAnsi="Times New Roman" w:cs="Times New Roman"/>
          <w:sz w:val="24"/>
          <w:szCs w:val="24"/>
        </w:rPr>
        <w:t>was officially demoted by the Vatican in 1969, when Margaret was declared unhistorical</w:t>
      </w:r>
      <w:r>
        <w:rPr>
          <w:rFonts w:ascii="Times New Roman" w:hAnsi="Times New Roman" w:cs="Times New Roman"/>
          <w:sz w:val="24"/>
          <w:szCs w:val="24"/>
        </w:rPr>
        <w:t>” (Riches, Salih, 32</w:t>
      </w:r>
      <w:r w:rsidRPr="000C74D9">
        <w:rPr>
          <w:rFonts w:ascii="Times New Roman" w:hAnsi="Times New Roman" w:cs="Times New Roman"/>
          <w:sz w:val="24"/>
          <w:szCs w:val="24"/>
        </w:rPr>
        <w:t>)</w:t>
      </w:r>
      <w:r>
        <w:rPr>
          <w:rFonts w:ascii="Times New Roman" w:hAnsi="Times New Roman" w:cs="Times New Roman"/>
          <w:sz w:val="24"/>
          <w:szCs w:val="24"/>
        </w:rPr>
        <w:t xml:space="preserve">. </w:t>
      </w:r>
      <w:bookmarkStart w:id="0" w:name="_GoBack"/>
      <w:bookmarkEnd w:id="0"/>
    </w:p>
    <w:p w:rsidR="00F25F32" w:rsidRDefault="00F25F32" w:rsidP="00F25F32">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lastRenderedPageBreak/>
        <w:t xml:space="preserve">Sands, Tracey R., “Saints and Politics During the Kalmar Period.” </w:t>
      </w:r>
      <w:r w:rsidRPr="00F35B07">
        <w:rPr>
          <w:rFonts w:ascii="Times New Roman" w:eastAsia="MS Mincho" w:hAnsi="Times New Roman" w:cs="Times New Roman"/>
          <w:i/>
          <w:iCs/>
          <w:sz w:val="24"/>
          <w:szCs w:val="24"/>
        </w:rPr>
        <w:t>Scandinavian Studies</w:t>
      </w:r>
      <w:r w:rsidRPr="00F35B07">
        <w:rPr>
          <w:rFonts w:ascii="Times New Roman" w:eastAsia="MS Mincho" w:hAnsi="Times New Roman" w:cs="Times New Roman"/>
          <w:sz w:val="24"/>
          <w:szCs w:val="24"/>
        </w:rPr>
        <w:t xml:space="preserve"> </w:t>
      </w:r>
      <w:r w:rsidRPr="00F35B07">
        <w:rPr>
          <w:rFonts w:ascii="Times New Roman" w:eastAsia="MS Mincho" w:hAnsi="Times New Roman" w:cs="Times New Roman"/>
          <w:i/>
          <w:iCs/>
          <w:sz w:val="24"/>
          <w:szCs w:val="24"/>
        </w:rPr>
        <w:t>World History in Context</w:t>
      </w:r>
      <w:r w:rsidRPr="00F35B07">
        <w:rPr>
          <w:rFonts w:ascii="Times New Roman" w:eastAsia="MS Mincho" w:hAnsi="Times New Roman" w:cs="Times New Roman"/>
          <w:sz w:val="24"/>
          <w:szCs w:val="24"/>
        </w:rPr>
        <w:t xml:space="preserve">. 80. </w:t>
      </w:r>
      <w:r>
        <w:rPr>
          <w:rFonts w:ascii="Times New Roman" w:eastAsia="MS Mincho" w:hAnsi="Times New Roman" w:cs="Times New Roman"/>
          <w:sz w:val="24"/>
          <w:szCs w:val="24"/>
        </w:rPr>
        <w:t>(</w:t>
      </w:r>
      <w:r w:rsidRPr="00F35B07">
        <w:rPr>
          <w:rFonts w:ascii="Times New Roman" w:eastAsia="MS Mincho" w:hAnsi="Times New Roman" w:cs="Times New Roman"/>
          <w:sz w:val="24"/>
          <w:szCs w:val="24"/>
        </w:rPr>
        <w:t>2008</w:t>
      </w:r>
      <w:r>
        <w:rPr>
          <w:rFonts w:ascii="Times New Roman" w:eastAsia="MS Mincho" w:hAnsi="Times New Roman" w:cs="Times New Roman"/>
          <w:sz w:val="24"/>
          <w:szCs w:val="24"/>
        </w:rPr>
        <w:t>)</w:t>
      </w:r>
      <w:r w:rsidRPr="00F35B07">
        <w:rPr>
          <w:rFonts w:ascii="Times New Roman" w:eastAsia="MS Mincho" w:hAnsi="Times New Roman" w:cs="Times New Roman"/>
          <w:sz w:val="24"/>
          <w:szCs w:val="24"/>
        </w:rPr>
        <w:t>. 141</w:t>
      </w:r>
      <w:r>
        <w:rPr>
          <w:rFonts w:ascii="Times New Roman" w:eastAsia="MS Mincho" w:hAnsi="Times New Roman" w:cs="Times New Roman"/>
          <w:sz w:val="24"/>
          <w:szCs w:val="24"/>
        </w:rPr>
        <w:t>-166</w:t>
      </w:r>
      <w:r w:rsidRPr="00F35B07">
        <w:rPr>
          <w:rFonts w:ascii="Times New Roman" w:eastAsia="MS Mincho" w:hAnsi="Times New Roman" w:cs="Times New Roman"/>
          <w:sz w:val="24"/>
          <w:szCs w:val="24"/>
        </w:rPr>
        <w:t>. Web. 14 Oct. 2014.</w:t>
      </w:r>
      <w:r w:rsidRPr="00F35B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Gale Cengage Learning.</w:t>
      </w:r>
    </w:p>
    <w:p w:rsidR="00F25F32" w:rsidRPr="00F35B07" w:rsidRDefault="00F25F32" w:rsidP="00F25F32">
      <w:pPr>
        <w:spacing w:after="0" w:line="240" w:lineRule="auto"/>
        <w:rPr>
          <w:rFonts w:ascii="Times New Roman" w:eastAsia="Times New Roman" w:hAnsi="Times New Roman" w:cs="Times New Roman"/>
          <w:sz w:val="24"/>
          <w:szCs w:val="24"/>
        </w:rPr>
      </w:pPr>
    </w:p>
    <w:p w:rsidR="00F25F32" w:rsidRPr="00F35B07" w:rsidRDefault="00F25F32" w:rsidP="00F25F32">
      <w:pPr>
        <w:spacing w:after="0" w:line="240" w:lineRule="auto"/>
        <w:ind w:firstLine="720"/>
        <w:rPr>
          <w:rFonts w:ascii="Times New Roman" w:eastAsia="MS Mincho" w:hAnsi="Times New Roman" w:cs="Times New Roman"/>
          <w:color w:val="121212"/>
          <w:sz w:val="24"/>
          <w:szCs w:val="24"/>
        </w:rPr>
      </w:pPr>
      <w:r w:rsidRPr="00F35B07">
        <w:rPr>
          <w:rFonts w:ascii="Times New Roman" w:eastAsia="MS Mincho" w:hAnsi="Times New Roman" w:cs="Times New Roman"/>
          <w:bCs/>
          <w:color w:val="121212"/>
          <w:sz w:val="24"/>
          <w:szCs w:val="24"/>
        </w:rPr>
        <w:t>Tracey R. Sands</w:t>
      </w:r>
      <w:r w:rsidRPr="00F35B07">
        <w:rPr>
          <w:rFonts w:ascii="Times New Roman" w:eastAsia="MS Mincho" w:hAnsi="Times New Roman" w:cs="Times New Roman"/>
          <w:color w:val="121212"/>
          <w:sz w:val="24"/>
          <w:szCs w:val="24"/>
        </w:rPr>
        <w:t xml:space="preserve"> has a doctorate in Scandinavian Studies from the University of Washington, as well as a Master's degree in Folklore an</w:t>
      </w:r>
      <w:r>
        <w:rPr>
          <w:rFonts w:ascii="Times New Roman" w:eastAsia="MS Mincho" w:hAnsi="Times New Roman" w:cs="Times New Roman"/>
          <w:color w:val="121212"/>
          <w:sz w:val="24"/>
          <w:szCs w:val="24"/>
        </w:rPr>
        <w:t xml:space="preserve">d Mythology, and has </w:t>
      </w:r>
      <w:r w:rsidRPr="00F35B07">
        <w:rPr>
          <w:rFonts w:ascii="Times New Roman" w:eastAsia="MS Mincho" w:hAnsi="Times New Roman" w:cs="Times New Roman"/>
          <w:color w:val="121212"/>
          <w:sz w:val="24"/>
          <w:szCs w:val="24"/>
        </w:rPr>
        <w:t xml:space="preserve">taught at a number of universities throughout the United States, including the University of Colorado. Within “Saints and Politics During the Kalmar Period” Sands studies the use of Saint Margaret in artwork discovered during the Kalmar Period, and her use as a political sign to a singular Swedish lord, essentially. It was through Sands’ work that I first learned that saints are often accompanied by an “attribute […] a visual marker of a saint’s identity, [which are] typically derived from some aspects of the saint’s legend, often the instruments of torture used against him or her, and/or the actual </w:t>
      </w:r>
      <w:r>
        <w:rPr>
          <w:rFonts w:ascii="Times New Roman" w:eastAsia="MS Mincho" w:hAnsi="Times New Roman" w:cs="Times New Roman"/>
          <w:color w:val="121212"/>
          <w:sz w:val="24"/>
          <w:szCs w:val="24"/>
        </w:rPr>
        <w:t>instrument of martyrdom” (Sands</w:t>
      </w:r>
      <w:r w:rsidRPr="00F35B07">
        <w:rPr>
          <w:rFonts w:ascii="Times New Roman" w:eastAsia="MS Mincho" w:hAnsi="Times New Roman" w:cs="Times New Roman"/>
          <w:color w:val="121212"/>
          <w:sz w:val="24"/>
          <w:szCs w:val="24"/>
        </w:rPr>
        <w:t xml:space="preserve"> 150). Tying the above two concepts together, the founder of the church and Swedish political player used St. Margaret in a starring role, not only with her typical attribute of a “small dragon” but “[wearing] a crown, which is unusual” (Sands, 154). Sands commentary on the many uses of and practice of praying to saints was made clearer through this passage, as I formerly had a limited understanding of why one would pray to or be a “devotee” of the deceased.</w:t>
      </w:r>
    </w:p>
    <w:p w:rsidR="00F25F32" w:rsidRPr="00F35B07" w:rsidRDefault="00F25F32" w:rsidP="00F25F32">
      <w:pPr>
        <w:spacing w:after="0" w:line="240" w:lineRule="auto"/>
        <w:ind w:left="720"/>
        <w:rPr>
          <w:rFonts w:ascii="Times New Roman" w:eastAsia="MS Mincho" w:hAnsi="Times New Roman" w:cs="Times New Roman"/>
          <w:sz w:val="24"/>
          <w:szCs w:val="24"/>
        </w:rPr>
      </w:pPr>
      <w:r w:rsidRPr="00F35B07">
        <w:rPr>
          <w:rFonts w:ascii="Times New Roman" w:eastAsia="MS Mincho" w:hAnsi="Times New Roman" w:cs="Times New Roman"/>
          <w:sz w:val="24"/>
          <w:szCs w:val="24"/>
        </w:rPr>
        <w:t>“Saints and their images fulfill several different functions for their devotees; [they] may serve as examples of behavior to emulate (or at least aspire to) but also, perhaps even more importantly, as intercessors, who, because of their particular closeness to Christ, can please the case of a devotee. To these two, [Sands] would add that saints serve a symbolic function, as a reference to a person, cause or idea not directly relate</w:t>
      </w:r>
      <w:r>
        <w:rPr>
          <w:rFonts w:ascii="Times New Roman" w:eastAsia="MS Mincho" w:hAnsi="Times New Roman" w:cs="Times New Roman"/>
          <w:sz w:val="24"/>
          <w:szCs w:val="24"/>
        </w:rPr>
        <w:t>d to the saint’s legend” (Sands</w:t>
      </w:r>
      <w:r w:rsidRPr="00F35B07">
        <w:rPr>
          <w:rFonts w:ascii="Times New Roman" w:eastAsia="MS Mincho" w:hAnsi="Times New Roman" w:cs="Times New Roman"/>
          <w:sz w:val="24"/>
          <w:szCs w:val="24"/>
        </w:rPr>
        <w:t xml:space="preserve"> 142).</w:t>
      </w:r>
    </w:p>
    <w:p w:rsidR="00F25F32" w:rsidRPr="00F35B07" w:rsidRDefault="00F25F32" w:rsidP="00F25F32">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Though Sands seemed to be much more interested in politics and government than the title or her article or abstract led on, Sands did provide me with an invaluable, very small phrase that opened up a great deal of research to me, without which I would have had a great deal of trouble: “</w:t>
      </w:r>
      <w:r w:rsidRPr="00F35B07">
        <w:rPr>
          <w:rFonts w:ascii="Times New Roman" w:eastAsia="MS Mincho" w:hAnsi="Times New Roman" w:cs="Times New Roman"/>
          <w:i/>
          <w:sz w:val="24"/>
          <w:szCs w:val="24"/>
        </w:rPr>
        <w:t>the cult</w:t>
      </w:r>
      <w:r>
        <w:rPr>
          <w:rFonts w:ascii="Times New Roman" w:eastAsia="MS Mincho" w:hAnsi="Times New Roman" w:cs="Times New Roman"/>
          <w:sz w:val="24"/>
          <w:szCs w:val="24"/>
        </w:rPr>
        <w:t xml:space="preserve"> of the saints” (Sands </w:t>
      </w:r>
      <w:r w:rsidRPr="00F35B07">
        <w:rPr>
          <w:rFonts w:ascii="Times New Roman" w:eastAsia="MS Mincho" w:hAnsi="Times New Roman" w:cs="Times New Roman"/>
          <w:sz w:val="24"/>
          <w:szCs w:val="24"/>
        </w:rPr>
        <w:t>147). Initially alarmed by this phrase</w:t>
      </w:r>
      <w:r>
        <w:rPr>
          <w:rFonts w:ascii="Times New Roman" w:eastAsia="MS Mincho" w:hAnsi="Times New Roman" w:cs="Times New Roman"/>
          <w:sz w:val="24"/>
          <w:szCs w:val="24"/>
        </w:rPr>
        <w:t xml:space="preserve">, </w:t>
      </w:r>
      <w:r w:rsidRPr="00F35B07">
        <w:rPr>
          <w:rFonts w:ascii="Times New Roman" w:eastAsia="MS Mincho" w:hAnsi="Times New Roman" w:cs="Times New Roman"/>
          <w:sz w:val="24"/>
          <w:szCs w:val="24"/>
        </w:rPr>
        <w:t>as “cult” has rather negative connotations today</w:t>
      </w:r>
      <w:r>
        <w:rPr>
          <w:rFonts w:ascii="Times New Roman" w:eastAsia="MS Mincho" w:hAnsi="Times New Roman" w:cs="Times New Roman"/>
          <w:sz w:val="24"/>
          <w:szCs w:val="24"/>
        </w:rPr>
        <w:t xml:space="preserve"> I did a rough search on the internet to discover that a cult during the Medieval Ages was something else entirely: simply the following of and devotion to a saint. </w:t>
      </w:r>
      <w:r w:rsidRPr="00F35B07">
        <w:rPr>
          <w:rFonts w:ascii="Times New Roman" w:eastAsia="MS Mincho" w:hAnsi="Times New Roman" w:cs="Times New Roman"/>
          <w:sz w:val="24"/>
          <w:szCs w:val="24"/>
        </w:rPr>
        <w:t>I began to research “the cult of St. Margaret of Antioch” which led to the nex</w:t>
      </w:r>
      <w:r>
        <w:rPr>
          <w:rFonts w:ascii="Times New Roman" w:eastAsia="MS Mincho" w:hAnsi="Times New Roman" w:cs="Times New Roman"/>
          <w:sz w:val="24"/>
          <w:szCs w:val="24"/>
        </w:rPr>
        <w:t>t source in my research journey.</w:t>
      </w:r>
      <w:r>
        <w:rPr>
          <w:rStyle w:val="FootnoteReference"/>
          <w:rFonts w:ascii="Times New Roman" w:eastAsia="MS Mincho" w:hAnsi="Times New Roman" w:cs="Times New Roman"/>
          <w:sz w:val="24"/>
          <w:szCs w:val="24"/>
        </w:rPr>
        <w:footnoteReference w:id="2"/>
      </w:r>
    </w:p>
    <w:p w:rsidR="00F25F32" w:rsidRDefault="00F25F32" w:rsidP="00F25F32">
      <w:pPr>
        <w:spacing w:after="0" w:line="240" w:lineRule="auto"/>
        <w:rPr>
          <w:rFonts w:ascii="Times New Roman" w:eastAsia="MS Mincho" w:hAnsi="Times New Roman" w:cs="Times New Roman"/>
          <w:sz w:val="24"/>
          <w:szCs w:val="24"/>
        </w:rPr>
      </w:pPr>
    </w:p>
    <w:p w:rsidR="00F25F32" w:rsidRPr="00EC2EC7" w:rsidRDefault="00F25F32" w:rsidP="00F25F32">
      <w:pPr>
        <w:rPr>
          <w:rFonts w:ascii="Times New Roman" w:hAnsi="Times New Roman" w:cs="Times New Roman"/>
          <w:sz w:val="24"/>
          <w:szCs w:val="24"/>
        </w:rPr>
      </w:pPr>
      <w:r w:rsidRPr="00EC2EC7">
        <w:rPr>
          <w:rFonts w:ascii="Times New Roman" w:hAnsi="Times New Roman" w:cs="Times New Roman"/>
          <w:sz w:val="24"/>
          <w:szCs w:val="24"/>
        </w:rPr>
        <w:t xml:space="preserve">Salih, Sarah. </w:t>
      </w:r>
      <w:r w:rsidRPr="00EC2EC7">
        <w:rPr>
          <w:rFonts w:ascii="Times New Roman" w:hAnsi="Times New Roman" w:cs="Times New Roman"/>
          <w:i/>
          <w:sz w:val="24"/>
          <w:szCs w:val="24"/>
        </w:rPr>
        <w:t>Version of Virginity in late Medieval History</w:t>
      </w:r>
      <w:r w:rsidRPr="00EC2EC7">
        <w:rPr>
          <w:rFonts w:ascii="Times New Roman" w:hAnsi="Times New Roman" w:cs="Times New Roman"/>
          <w:sz w:val="24"/>
          <w:szCs w:val="24"/>
        </w:rPr>
        <w:t xml:space="preserve">. Cambridge: D.S. Brewer Publishing. 2001. </w:t>
      </w:r>
    </w:p>
    <w:p w:rsidR="00F25F32" w:rsidRDefault="00F25F32" w:rsidP="00F25F32">
      <w:pPr>
        <w:spacing w:after="0" w:line="240" w:lineRule="auto"/>
        <w:ind w:firstLine="360"/>
        <w:rPr>
          <w:rFonts w:ascii="Times New Roman" w:hAnsi="Times New Roman" w:cs="Times New Roman"/>
          <w:sz w:val="24"/>
          <w:szCs w:val="24"/>
        </w:rPr>
      </w:pPr>
      <w:r w:rsidRPr="00EC2EC7">
        <w:rPr>
          <w:rStyle w:val="Hyperlink"/>
          <w:rFonts w:ascii="Times New Roman" w:hAnsi="Times New Roman" w:cs="Times New Roman"/>
          <w:color w:val="auto"/>
          <w:sz w:val="24"/>
          <w:szCs w:val="24"/>
          <w:u w:val="none"/>
        </w:rPr>
        <w:t>Salih’s interesting answer to the question of why virginity should be a focus for humankind, is to point back to the Christian creation story: “</w:t>
      </w:r>
      <w:r w:rsidRPr="00EC2EC7">
        <w:rPr>
          <w:rFonts w:ascii="Times New Roman" w:hAnsi="Times New Roman" w:cs="Times New Roman"/>
          <w:sz w:val="24"/>
          <w:szCs w:val="24"/>
        </w:rPr>
        <w:t>woman is subject to the curse of Eve, ‘in sorrow shalt thou bring forth children, and thou shalt be under they husband’s power, and he shall have dominion over thee’</w:t>
      </w:r>
      <w:r>
        <w:rPr>
          <w:rFonts w:ascii="Times New Roman" w:hAnsi="Times New Roman" w:cs="Times New Roman"/>
          <w:sz w:val="24"/>
          <w:szCs w:val="24"/>
        </w:rPr>
        <w:t>”</w:t>
      </w:r>
      <w:r w:rsidRPr="00EC2EC7">
        <w:rPr>
          <w:rFonts w:ascii="Times New Roman" w:hAnsi="Times New Roman" w:cs="Times New Roman"/>
          <w:sz w:val="24"/>
          <w:szCs w:val="24"/>
        </w:rPr>
        <w:t xml:space="preserve"> (1), as if to say that part of women’s curse is an imprisonment of the gender itself, to be ruled by a father, ruled by a husband and ruled by sons – sexual states of being and equal measure of purity despite having had sex in order to bear children always being under constant scrutiny. It is not the burden of men, the concept of sexual </w:t>
      </w:r>
      <w:r w:rsidRPr="00EC2EC7">
        <w:rPr>
          <w:rFonts w:ascii="Times New Roman" w:hAnsi="Times New Roman" w:cs="Times New Roman"/>
          <w:i/>
          <w:sz w:val="24"/>
          <w:szCs w:val="24"/>
        </w:rPr>
        <w:t>impurity</w:t>
      </w:r>
      <w:r w:rsidRPr="00EC2EC7">
        <w:rPr>
          <w:rFonts w:ascii="Times New Roman" w:hAnsi="Times New Roman" w:cs="Times New Roman"/>
          <w:sz w:val="24"/>
          <w:szCs w:val="24"/>
        </w:rPr>
        <w:t>, but women</w:t>
      </w:r>
      <w:r>
        <w:rPr>
          <w:rFonts w:ascii="Times New Roman" w:hAnsi="Times New Roman" w:cs="Times New Roman"/>
          <w:sz w:val="24"/>
          <w:szCs w:val="24"/>
        </w:rPr>
        <w:t>’s.</w:t>
      </w:r>
      <w:r>
        <w:rPr>
          <w:rFonts w:ascii="Times New Roman" w:hAnsi="Times New Roman" w:cs="Times New Roman"/>
          <w:sz w:val="24"/>
          <w:szCs w:val="24"/>
        </w:rPr>
        <w:tab/>
      </w:r>
      <w:r w:rsidRPr="00EC2EC7">
        <w:rPr>
          <w:rFonts w:ascii="Times New Roman" w:hAnsi="Times New Roman" w:cs="Times New Roman"/>
          <w:sz w:val="24"/>
          <w:szCs w:val="24"/>
        </w:rPr>
        <w:t xml:space="preserve">Although this is a terrible and unfair (if not fictional) burden, Salih presents an interesting upside </w:t>
      </w:r>
      <w:r>
        <w:rPr>
          <w:rFonts w:ascii="Times New Roman" w:hAnsi="Times New Roman" w:cs="Times New Roman"/>
          <w:sz w:val="24"/>
          <w:szCs w:val="24"/>
        </w:rPr>
        <w:t>to the sexualization of women: t</w:t>
      </w:r>
      <w:r w:rsidRPr="00EC2EC7">
        <w:rPr>
          <w:rFonts w:ascii="Times New Roman" w:hAnsi="Times New Roman" w:cs="Times New Roman"/>
          <w:sz w:val="24"/>
          <w:szCs w:val="24"/>
        </w:rPr>
        <w:t xml:space="preserve">he decision to </w:t>
      </w:r>
      <w:r w:rsidRPr="00EC2EC7">
        <w:rPr>
          <w:rFonts w:ascii="Times New Roman" w:hAnsi="Times New Roman" w:cs="Times New Roman"/>
          <w:i/>
          <w:sz w:val="24"/>
          <w:szCs w:val="24"/>
        </w:rPr>
        <w:t>not</w:t>
      </w:r>
      <w:r w:rsidRPr="00EC2EC7">
        <w:rPr>
          <w:rFonts w:ascii="Times New Roman" w:hAnsi="Times New Roman" w:cs="Times New Roman"/>
          <w:sz w:val="24"/>
          <w:szCs w:val="24"/>
        </w:rPr>
        <w:t xml:space="preserve"> be sexual, and thus remove much of the </w:t>
      </w:r>
      <w:r w:rsidRPr="00EC2EC7">
        <w:rPr>
          <w:rFonts w:ascii="Times New Roman" w:hAnsi="Times New Roman" w:cs="Times New Roman"/>
          <w:i/>
          <w:sz w:val="24"/>
          <w:szCs w:val="24"/>
        </w:rPr>
        <w:t>power</w:t>
      </w:r>
      <w:r w:rsidRPr="00EC2EC7">
        <w:rPr>
          <w:rFonts w:ascii="Times New Roman" w:hAnsi="Times New Roman" w:cs="Times New Roman"/>
          <w:sz w:val="24"/>
          <w:szCs w:val="24"/>
        </w:rPr>
        <w:t xml:space="preserve"> men and society have</w:t>
      </w:r>
      <w:r>
        <w:rPr>
          <w:rFonts w:ascii="Times New Roman" w:hAnsi="Times New Roman" w:cs="Times New Roman"/>
          <w:sz w:val="24"/>
          <w:szCs w:val="24"/>
        </w:rPr>
        <w:t xml:space="preserve">, suggesting that in medieval times “women became like men in </w:t>
      </w:r>
      <w:r>
        <w:rPr>
          <w:rFonts w:ascii="Times New Roman" w:hAnsi="Times New Roman" w:cs="Times New Roman"/>
          <w:sz w:val="24"/>
          <w:szCs w:val="24"/>
        </w:rPr>
        <w:lastRenderedPageBreak/>
        <w:t xml:space="preserve">their choice of virginity [in society]”, as much control of society is lost – there is no pressure to find a husband, to have children, to support a growing family. These women were free to do other things, perhaps earn money, join the church as a nun or produce literature or art. </w:t>
      </w:r>
      <w:r>
        <w:rPr>
          <w:rFonts w:ascii="Times New Roman" w:hAnsi="Times New Roman" w:cs="Times New Roman"/>
          <w:sz w:val="24"/>
          <w:szCs w:val="24"/>
        </w:rPr>
        <w:tab/>
      </w:r>
      <w:r>
        <w:rPr>
          <w:rFonts w:ascii="Times New Roman" w:hAnsi="Times New Roman" w:cs="Times New Roman"/>
          <w:sz w:val="24"/>
          <w:szCs w:val="24"/>
        </w:rPr>
        <w:tab/>
        <w:t>Salih also states that virginity allowed</w:t>
      </w:r>
      <w:r w:rsidRPr="00EC2EC7">
        <w:rPr>
          <w:rFonts w:ascii="Times New Roman" w:hAnsi="Times New Roman" w:cs="Times New Roman"/>
          <w:sz w:val="24"/>
          <w:szCs w:val="24"/>
        </w:rPr>
        <w:t xml:space="preserve"> </w:t>
      </w:r>
      <w:r>
        <w:rPr>
          <w:rFonts w:ascii="Times New Roman" w:hAnsi="Times New Roman" w:cs="Times New Roman"/>
          <w:sz w:val="24"/>
          <w:szCs w:val="24"/>
        </w:rPr>
        <w:t>“t</w:t>
      </w:r>
      <w:r w:rsidRPr="00EC2EC7">
        <w:rPr>
          <w:rFonts w:ascii="Times New Roman" w:hAnsi="Times New Roman" w:cs="Times New Roman"/>
          <w:sz w:val="24"/>
          <w:szCs w:val="24"/>
        </w:rPr>
        <w:t xml:space="preserve">he possibility that women could practice some form of the </w:t>
      </w:r>
      <w:r w:rsidRPr="00EC2EC7">
        <w:rPr>
          <w:rFonts w:ascii="Times New Roman" w:hAnsi="Times New Roman" w:cs="Times New Roman"/>
          <w:i/>
          <w:sz w:val="24"/>
          <w:szCs w:val="24"/>
        </w:rPr>
        <w:t>imitatio Christi</w:t>
      </w:r>
      <w:r w:rsidRPr="00EC2EC7">
        <w:rPr>
          <w:rFonts w:ascii="Times New Roman" w:hAnsi="Times New Roman" w:cs="Times New Roman"/>
          <w:sz w:val="24"/>
          <w:szCs w:val="24"/>
        </w:rPr>
        <w:t xml:space="preserve"> with specifically female inflections</w:t>
      </w:r>
      <w:r>
        <w:rPr>
          <w:rFonts w:ascii="Times New Roman" w:hAnsi="Times New Roman" w:cs="Times New Roman"/>
          <w:sz w:val="24"/>
          <w:szCs w:val="24"/>
        </w:rPr>
        <w:t>, and</w:t>
      </w:r>
      <w:r w:rsidRPr="00EC2EC7">
        <w:rPr>
          <w:rFonts w:ascii="Times New Roman" w:hAnsi="Times New Roman" w:cs="Times New Roman"/>
          <w:sz w:val="24"/>
          <w:szCs w:val="24"/>
        </w:rPr>
        <w:t xml:space="preserve"> attain</w:t>
      </w:r>
      <w:r>
        <w:rPr>
          <w:rFonts w:ascii="Times New Roman" w:hAnsi="Times New Roman" w:cs="Times New Roman"/>
          <w:sz w:val="24"/>
          <w:szCs w:val="24"/>
        </w:rPr>
        <w:t>[ed]</w:t>
      </w:r>
      <w:r w:rsidRPr="00EC2EC7">
        <w:rPr>
          <w:rFonts w:ascii="Times New Roman" w:hAnsi="Times New Roman" w:cs="Times New Roman"/>
          <w:sz w:val="24"/>
          <w:szCs w:val="24"/>
        </w:rPr>
        <w:t xml:space="preserve"> a particularly exalted  status</w:t>
      </w:r>
      <w:r>
        <w:rPr>
          <w:rFonts w:ascii="Times New Roman" w:hAnsi="Times New Roman" w:cs="Times New Roman"/>
          <w:sz w:val="24"/>
          <w:szCs w:val="24"/>
        </w:rPr>
        <w:t xml:space="preserve"> in the realm of the spirit” (Salih 8). Despite women’s supposed susceptibility to sexual sin, more common than not were women virgins by choice (although clergy were celibate), women virgins, according to Salih, “attained a particularly exalted status in the realm of the spirit”, meaning that they could become closer to God than non-virgins, due to their “marriage” to God, and refusal of an earthly husband. Therefore there are two reasons why women might be virgins during the medieval period, according to Salih. </w:t>
      </w:r>
    </w:p>
    <w:p w:rsidR="00F25F32" w:rsidRDefault="00F25F32" w:rsidP="00F25F32">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Salih goes on to argue that “v</w:t>
      </w:r>
      <w:r w:rsidRPr="00E653FE">
        <w:rPr>
          <w:rFonts w:ascii="Times New Roman" w:hAnsi="Times New Roman" w:cs="Times New Roman"/>
          <w:sz w:val="24"/>
          <w:szCs w:val="24"/>
        </w:rPr>
        <w:t>irginity is</w:t>
      </w:r>
      <w:r>
        <w:rPr>
          <w:rFonts w:ascii="Times New Roman" w:hAnsi="Times New Roman" w:cs="Times New Roman"/>
          <w:sz w:val="24"/>
          <w:szCs w:val="24"/>
        </w:rPr>
        <w:t xml:space="preserve"> more than sexual inexperience; </w:t>
      </w:r>
      <w:r w:rsidRPr="00E653FE">
        <w:rPr>
          <w:rFonts w:ascii="Times New Roman" w:hAnsi="Times New Roman" w:cs="Times New Roman"/>
          <w:sz w:val="24"/>
          <w:szCs w:val="24"/>
        </w:rPr>
        <w:t>virginity may b</w:t>
      </w:r>
      <w:r>
        <w:rPr>
          <w:rFonts w:ascii="Times New Roman" w:hAnsi="Times New Roman" w:cs="Times New Roman"/>
          <w:sz w:val="24"/>
          <w:szCs w:val="24"/>
        </w:rPr>
        <w:t>e concept</w:t>
      </w:r>
      <w:r w:rsidRPr="00E653FE">
        <w:rPr>
          <w:rFonts w:ascii="Times New Roman" w:hAnsi="Times New Roman" w:cs="Times New Roman"/>
          <w:sz w:val="24"/>
          <w:szCs w:val="24"/>
        </w:rPr>
        <w:t>ualized as a gendered identity</w:t>
      </w:r>
      <w:r>
        <w:rPr>
          <w:rFonts w:ascii="Times New Roman" w:hAnsi="Times New Roman" w:cs="Times New Roman"/>
          <w:sz w:val="24"/>
          <w:szCs w:val="24"/>
        </w:rPr>
        <w:t xml:space="preserve"> [leaning more toward a man’s role, that is, independent]</w:t>
      </w:r>
      <w:r w:rsidRPr="00E653FE">
        <w:rPr>
          <w:rFonts w:ascii="Times New Roman" w:hAnsi="Times New Roman" w:cs="Times New Roman"/>
          <w:sz w:val="24"/>
          <w:szCs w:val="24"/>
        </w:rPr>
        <w:t xml:space="preserve"> which can be constituted in c</w:t>
      </w:r>
      <w:r>
        <w:rPr>
          <w:rFonts w:ascii="Times New Roman" w:hAnsi="Times New Roman" w:cs="Times New Roman"/>
          <w:sz w:val="24"/>
          <w:szCs w:val="24"/>
        </w:rPr>
        <w:t>ulturally significant action” (Salih 1</w:t>
      </w:r>
      <w:r w:rsidRPr="00E653FE">
        <w:rPr>
          <w:rFonts w:ascii="Times New Roman" w:hAnsi="Times New Roman" w:cs="Times New Roman"/>
          <w:sz w:val="24"/>
          <w:szCs w:val="24"/>
        </w:rPr>
        <w:t xml:space="preserve">). </w:t>
      </w:r>
      <w:r>
        <w:rPr>
          <w:rFonts w:ascii="Times New Roman" w:hAnsi="Times New Roman" w:cs="Times New Roman"/>
          <w:sz w:val="24"/>
          <w:szCs w:val="24"/>
        </w:rPr>
        <w:t>Furthermore the concept of virginity as seen in religious teachings, of the reformed prostitutes and celibate married saints, demonstrates that “a</w:t>
      </w:r>
      <w:r w:rsidRPr="00E653FE">
        <w:rPr>
          <w:rFonts w:ascii="Times New Roman" w:hAnsi="Times New Roman" w:cs="Times New Roman"/>
          <w:sz w:val="24"/>
          <w:szCs w:val="24"/>
        </w:rPr>
        <w:t xml:space="preserve"> virgin is born even of fornication, but a sacred virgin not even of marriage” </w:t>
      </w:r>
      <w:r>
        <w:rPr>
          <w:rFonts w:ascii="Times New Roman" w:hAnsi="Times New Roman" w:cs="Times New Roman"/>
          <w:sz w:val="24"/>
          <w:szCs w:val="24"/>
        </w:rPr>
        <w:t xml:space="preserve">(Salih 11). Therefore virginity is fluid concept. Physically, spiritually, socially, there are different meanings and inspirations for the meanings depending on who is making the definition, and when. </w:t>
      </w:r>
    </w:p>
    <w:p w:rsidR="00F25F32" w:rsidRPr="00EC67AB" w:rsidRDefault="00F25F32" w:rsidP="00F25F32">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Salih was concerned with the idea of virgins being a “third gender” throughout history, due to not fitting into men’s’ roles or women’s role socially, which I thought was interesting but not true, as gender is a complicated definition, and it is likely that the virgins themselves would not have considered themselves anything but female; additionally, the concept was not applicable to Saint Margaret. Salih discussed the definition of virginity, which has proved to be a somewhat complicated answer, or unanswerable, in fact. </w:t>
      </w:r>
    </w:p>
    <w:p w:rsidR="00F25F32" w:rsidRPr="00F35B07" w:rsidRDefault="00F25F32" w:rsidP="00F25F32">
      <w:pPr>
        <w:spacing w:after="0" w:line="240" w:lineRule="auto"/>
        <w:rPr>
          <w:rFonts w:ascii="Times New Roman" w:eastAsia="MS Mincho" w:hAnsi="Times New Roman" w:cs="Times New Roman"/>
          <w:sz w:val="24"/>
          <w:szCs w:val="24"/>
        </w:rPr>
      </w:pPr>
    </w:p>
    <w:p w:rsidR="00F25F32" w:rsidRPr="00F35B07" w:rsidRDefault="00F25F32" w:rsidP="00F25F32">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Teochimus. </w:t>
      </w:r>
      <w:r w:rsidRPr="00F35B07">
        <w:rPr>
          <w:rFonts w:ascii="Times New Roman" w:eastAsia="MS Mincho" w:hAnsi="Times New Roman" w:cs="Times New Roman"/>
          <w:sz w:val="24"/>
          <w:szCs w:val="24"/>
        </w:rPr>
        <w:t xml:space="preserve">“The Life and Passion of St. Margaret.” </w:t>
      </w:r>
      <w:r>
        <w:rPr>
          <w:rFonts w:ascii="Times New Roman" w:eastAsia="MS Mincho" w:hAnsi="Times New Roman" w:cs="Times New Roman"/>
          <w:sz w:val="24"/>
          <w:szCs w:val="24"/>
        </w:rPr>
        <w:t xml:space="preserve">Ontario: </w:t>
      </w:r>
      <w:r w:rsidRPr="00F35B07">
        <w:rPr>
          <w:rFonts w:ascii="Times New Roman" w:eastAsia="MS Mincho" w:hAnsi="Times New Roman" w:cs="Times New Roman"/>
          <w:sz w:val="24"/>
          <w:szCs w:val="24"/>
        </w:rPr>
        <w:t xml:space="preserve">Broadview Press. </w:t>
      </w:r>
      <w:r>
        <w:rPr>
          <w:rFonts w:ascii="Times New Roman" w:eastAsia="MS Mincho" w:hAnsi="Times New Roman" w:cs="Times New Roman"/>
          <w:sz w:val="24"/>
          <w:szCs w:val="24"/>
        </w:rPr>
        <w:t>(</w:t>
      </w:r>
      <w:r w:rsidRPr="00F35B07">
        <w:rPr>
          <w:rFonts w:ascii="Times New Roman" w:eastAsia="MS Mincho" w:hAnsi="Times New Roman" w:cs="Times New Roman"/>
          <w:sz w:val="24"/>
          <w:szCs w:val="24"/>
        </w:rPr>
        <w:t>2009</w:t>
      </w:r>
      <w:r>
        <w:rPr>
          <w:rFonts w:ascii="Times New Roman" w:eastAsia="MS Mincho" w:hAnsi="Times New Roman" w:cs="Times New Roman"/>
          <w:sz w:val="24"/>
          <w:szCs w:val="24"/>
        </w:rPr>
        <w:t>)</w:t>
      </w:r>
      <w:r w:rsidRPr="00F35B07">
        <w:rPr>
          <w:rFonts w:ascii="Times New Roman" w:eastAsia="MS Mincho" w:hAnsi="Times New Roman" w:cs="Times New Roman"/>
          <w:sz w:val="24"/>
          <w:szCs w:val="24"/>
        </w:rPr>
        <w:t xml:space="preserve">. 1-13. </w:t>
      </w:r>
      <w:r>
        <w:rPr>
          <w:rFonts w:ascii="Cambria" w:eastAsia="MS Mincho" w:hAnsi="Cambria" w:cs="Times New Roman"/>
          <w:sz w:val="24"/>
          <w:szCs w:val="24"/>
        </w:rPr>
        <w:t>Print.</w:t>
      </w:r>
    </w:p>
    <w:p w:rsidR="00F25F32" w:rsidRPr="00F35B07" w:rsidRDefault="00F25F32" w:rsidP="00F25F32">
      <w:pPr>
        <w:spacing w:after="0" w:line="240" w:lineRule="auto"/>
        <w:rPr>
          <w:rFonts w:ascii="Times New Roman" w:eastAsia="MS Mincho" w:hAnsi="Times New Roman" w:cs="Times New Roman"/>
          <w:sz w:val="24"/>
          <w:szCs w:val="24"/>
        </w:rPr>
      </w:pPr>
    </w:p>
    <w:p w:rsidR="00F25F32" w:rsidRPr="00F35B07" w:rsidRDefault="00F25F32" w:rsidP="00F25F32">
      <w:pPr>
        <w:spacing w:after="0" w:line="240" w:lineRule="auto"/>
        <w:rPr>
          <w:rFonts w:ascii="Times New Roman" w:eastAsia="MS Mincho" w:hAnsi="Times New Roman" w:cs="Times New Roman"/>
          <w:sz w:val="24"/>
          <w:szCs w:val="24"/>
        </w:rPr>
      </w:pPr>
      <w:r w:rsidRPr="00F35B07">
        <w:rPr>
          <w:rFonts w:ascii="Times New Roman" w:eastAsia="MS Mincho" w:hAnsi="Times New Roman" w:cs="Times New Roman"/>
          <w:sz w:val="24"/>
          <w:szCs w:val="24"/>
        </w:rPr>
        <w:tab/>
        <w:t xml:space="preserve">Although slight variations in </w:t>
      </w:r>
      <w:r w:rsidRPr="00F35B07">
        <w:rPr>
          <w:rFonts w:ascii="Times New Roman" w:eastAsia="MS Mincho" w:hAnsi="Times New Roman" w:cs="Times New Roman"/>
          <w:i/>
          <w:sz w:val="24"/>
          <w:szCs w:val="24"/>
        </w:rPr>
        <w:t>The Life of St. Margaret</w:t>
      </w:r>
      <w:r w:rsidRPr="00F35B07">
        <w:rPr>
          <w:rFonts w:ascii="Times New Roman" w:eastAsia="MS Mincho" w:hAnsi="Times New Roman" w:cs="Times New Roman"/>
          <w:sz w:val="24"/>
          <w:szCs w:val="24"/>
        </w:rPr>
        <w:t xml:space="preserve"> of Antioch exists, a few of which have been mentioned already, the version supposedly recorded by one Teochimus remains the mostly widely read. However, at the end of my research – though I began with Teochimus’ story and end this annotation with it as well – I feel more questions than answers have been uncovered in my study of Saint Margaret. Margaret was supposedly a young woman, a virgin, her devoutness to Jesus Christ causing her to be the object of contempt for her father, who was “a patriarch and princ</w:t>
      </w:r>
      <w:r>
        <w:rPr>
          <w:rFonts w:ascii="Times New Roman" w:eastAsia="MS Mincho" w:hAnsi="Times New Roman" w:cs="Times New Roman"/>
          <w:sz w:val="24"/>
          <w:szCs w:val="24"/>
        </w:rPr>
        <w:t>e of heathen people” (Teochimus</w:t>
      </w:r>
      <w:r w:rsidRPr="00F35B07">
        <w:rPr>
          <w:rFonts w:ascii="Times New Roman" w:eastAsia="MS Mincho" w:hAnsi="Times New Roman" w:cs="Times New Roman"/>
          <w:sz w:val="24"/>
          <w:szCs w:val="24"/>
        </w:rPr>
        <w:t xml:space="preserve"> 2). After being spotted in the field while tending her father’s flock (an allusion to Christ perhaps?) by a “child of the devil”, Olibrius, in this rendition referred to as “the ruler of the land, who condemned and destroyed all the followers of the living God” is bent upon either having her “as my wife </w:t>
      </w:r>
      <w:r>
        <w:rPr>
          <w:rFonts w:ascii="Times New Roman" w:eastAsia="MS Mincho" w:hAnsi="Times New Roman" w:cs="Times New Roman"/>
          <w:sz w:val="24"/>
          <w:szCs w:val="24"/>
        </w:rPr>
        <w:t>[or] as a concubine” (Teochimus 3). A</w:t>
      </w:r>
      <w:r w:rsidRPr="00F35B07">
        <w:rPr>
          <w:rFonts w:ascii="Times New Roman" w:eastAsia="MS Mincho" w:hAnsi="Times New Roman" w:cs="Times New Roman"/>
          <w:sz w:val="24"/>
          <w:szCs w:val="24"/>
        </w:rPr>
        <w:t xml:space="preserve"> number of paragraphs pass with the villain asking and torturing the poor girl, as she continues to speak of her love of Christ, saying such things to infuriate him as, “I, a maiden, have given him [Christ] my maidenhood, and love him as a beloved and bel</w:t>
      </w:r>
      <w:r>
        <w:rPr>
          <w:rFonts w:ascii="Times New Roman" w:eastAsia="MS Mincho" w:hAnsi="Times New Roman" w:cs="Times New Roman"/>
          <w:sz w:val="24"/>
          <w:szCs w:val="24"/>
        </w:rPr>
        <w:t>ieve in him as Lord” (Teochimus</w:t>
      </w:r>
      <w:r w:rsidRPr="00F35B07">
        <w:rPr>
          <w:rFonts w:ascii="Times New Roman" w:eastAsia="MS Mincho" w:hAnsi="Times New Roman" w:cs="Times New Roman"/>
          <w:sz w:val="24"/>
          <w:szCs w:val="24"/>
        </w:rPr>
        <w:t xml:space="preserve"> 3). </w:t>
      </w:r>
    </w:p>
    <w:p w:rsidR="00F25F32" w:rsidRDefault="00F25F32" w:rsidP="00F25F32">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Most interestingly, and what may very well set her apart from other saints, is the incarnation of the devil as a dragon while she is imprisoned: “Suddenly there came towards her out of a corner a devil from hell in t</w:t>
      </w:r>
      <w:r>
        <w:rPr>
          <w:rFonts w:ascii="Times New Roman" w:eastAsia="MS Mincho" w:hAnsi="Times New Roman" w:cs="Times New Roman"/>
          <w:sz w:val="24"/>
          <w:szCs w:val="24"/>
        </w:rPr>
        <w:t>he form of a dragon” (Teochimus</w:t>
      </w:r>
      <w:r w:rsidRPr="00F35B07">
        <w:rPr>
          <w:rFonts w:ascii="Times New Roman" w:eastAsia="MS Mincho" w:hAnsi="Times New Roman" w:cs="Times New Roman"/>
          <w:sz w:val="24"/>
          <w:szCs w:val="24"/>
        </w:rPr>
        <w:t xml:space="preserve"> 5). The devil-dr</w:t>
      </w:r>
      <w:r>
        <w:rPr>
          <w:rFonts w:ascii="Times New Roman" w:eastAsia="MS Mincho" w:hAnsi="Times New Roman" w:cs="Times New Roman"/>
          <w:sz w:val="24"/>
          <w:szCs w:val="24"/>
        </w:rPr>
        <w:t xml:space="preserve">agon </w:t>
      </w:r>
      <w:r>
        <w:rPr>
          <w:rFonts w:ascii="Times New Roman" w:eastAsia="MS Mincho" w:hAnsi="Times New Roman" w:cs="Times New Roman"/>
          <w:sz w:val="24"/>
          <w:szCs w:val="24"/>
        </w:rPr>
        <w:lastRenderedPageBreak/>
        <w:t>swallows her hole, but as</w:t>
      </w:r>
      <w:r w:rsidRPr="00F35B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Margaret’s makes </w:t>
      </w:r>
      <w:r w:rsidRPr="00F35B07">
        <w:rPr>
          <w:rFonts w:ascii="Times New Roman" w:eastAsia="MS Mincho" w:hAnsi="Times New Roman" w:cs="Times New Roman"/>
          <w:sz w:val="24"/>
          <w:szCs w:val="24"/>
        </w:rPr>
        <w:t>the sign of the cross</w:t>
      </w:r>
      <w:r>
        <w:rPr>
          <w:rFonts w:ascii="Times New Roman" w:eastAsia="MS Mincho" w:hAnsi="Times New Roman" w:cs="Times New Roman"/>
          <w:sz w:val="24"/>
          <w:szCs w:val="24"/>
        </w:rPr>
        <w:t xml:space="preserve"> (right before he consumes her or while in his stomach, texts cannot agree)</w:t>
      </w:r>
      <w:r w:rsidRPr="00F35B07">
        <w:rPr>
          <w:rFonts w:ascii="Times New Roman" w:eastAsia="MS Mincho" w:hAnsi="Times New Roman" w:cs="Times New Roman"/>
          <w:sz w:val="24"/>
          <w:szCs w:val="24"/>
        </w:rPr>
        <w:t>, “his body burst in two down the middle” and th</w:t>
      </w:r>
      <w:r>
        <w:rPr>
          <w:rFonts w:ascii="Times New Roman" w:eastAsia="MS Mincho" w:hAnsi="Times New Roman" w:cs="Times New Roman"/>
          <w:sz w:val="24"/>
          <w:szCs w:val="24"/>
        </w:rPr>
        <w:t>e woman emerges from between the halves unscathed (Teochimus</w:t>
      </w:r>
      <w:r w:rsidRPr="00F35B07">
        <w:rPr>
          <w:rFonts w:ascii="Times New Roman" w:eastAsia="MS Mincho" w:hAnsi="Times New Roman" w:cs="Times New Roman"/>
          <w:sz w:val="24"/>
          <w:szCs w:val="24"/>
        </w:rPr>
        <w:t xml:space="preserve"> 6). After this the dragon is swallowed back up into hell, but Margaret is not alone for long – shortly after a demon arrives to talk with her about “What [she] wished to know: where we [demons] most live, and why we most hat</w:t>
      </w:r>
      <w:r>
        <w:rPr>
          <w:rFonts w:ascii="Times New Roman" w:eastAsia="MS Mincho" w:hAnsi="Times New Roman" w:cs="Times New Roman"/>
          <w:sz w:val="24"/>
          <w:szCs w:val="24"/>
        </w:rPr>
        <w:t>e and harry maidens”</w:t>
      </w:r>
      <w:r w:rsidRPr="00F35B07">
        <w:rPr>
          <w:rFonts w:ascii="Times New Roman" w:eastAsia="MS Mincho" w:hAnsi="Times New Roman" w:cs="Times New Roman"/>
          <w:sz w:val="24"/>
          <w:szCs w:val="24"/>
        </w:rPr>
        <w:t xml:space="preserve"> – that is, because “through the power of maidenhood [virginity] was mankind redeemed [“by the heavenly queen”], and all that we owned </w:t>
      </w:r>
      <w:r>
        <w:rPr>
          <w:rFonts w:ascii="Times New Roman" w:eastAsia="MS Mincho" w:hAnsi="Times New Roman" w:cs="Times New Roman"/>
          <w:sz w:val="24"/>
          <w:szCs w:val="24"/>
        </w:rPr>
        <w:t>taken and bereft us” (Teochimus</w:t>
      </w:r>
      <w:r w:rsidRPr="00F35B07">
        <w:rPr>
          <w:rFonts w:ascii="Times New Roman" w:eastAsia="MS Mincho" w:hAnsi="Times New Roman" w:cs="Times New Roman"/>
          <w:sz w:val="24"/>
          <w:szCs w:val="24"/>
        </w:rPr>
        <w:t xml:space="preserve"> 9). </w:t>
      </w:r>
      <w:r>
        <w:rPr>
          <w:rFonts w:ascii="Times New Roman" w:eastAsia="MS Mincho" w:hAnsi="Times New Roman" w:cs="Times New Roman"/>
          <w:sz w:val="24"/>
          <w:szCs w:val="24"/>
        </w:rPr>
        <w:t>How shocking it is to the moral</w:t>
      </w:r>
      <w:r w:rsidRPr="00F35B07">
        <w:rPr>
          <w:rFonts w:ascii="Times New Roman" w:eastAsia="MS Mincho" w:hAnsi="Times New Roman" w:cs="Times New Roman"/>
          <w:sz w:val="24"/>
          <w:szCs w:val="24"/>
        </w:rPr>
        <w:t xml:space="preserve"> of this tale, as I learned in later research, that most of this demonic monologue was added by a monk, most likely, writing to nuns. As much of Margaret’s tale that remains without it, that is brave and admirable, it is a bit insulting to boil it down to a girl’s virginity. </w:t>
      </w:r>
      <w:r>
        <w:rPr>
          <w:rFonts w:ascii="Times New Roman" w:eastAsia="MS Mincho" w:hAnsi="Times New Roman" w:cs="Times New Roman"/>
          <w:sz w:val="24"/>
          <w:szCs w:val="24"/>
        </w:rPr>
        <w:t>The story of Saint Margaret should be celebrated as one of devotion to God, and also, empowerment of women to stand on their own, both physically and spiritually.</w:t>
      </w:r>
    </w:p>
    <w:p w:rsidR="00F25F32" w:rsidRDefault="00F25F32" w:rsidP="00F25F32">
      <w:pPr>
        <w:spacing w:after="0" w:line="240" w:lineRule="auto"/>
        <w:rPr>
          <w:rFonts w:ascii="Times New Roman" w:eastAsia="MS Mincho" w:hAnsi="Times New Roman" w:cs="Times New Roman"/>
          <w:sz w:val="24"/>
          <w:szCs w:val="24"/>
        </w:rPr>
      </w:pPr>
    </w:p>
    <w:p w:rsidR="00F25F32" w:rsidRDefault="00F25F32" w:rsidP="00F25F32">
      <w:pPr>
        <w:spacing w:after="0" w:line="240" w:lineRule="auto"/>
        <w:jc w:val="center"/>
        <w:rPr>
          <w:rFonts w:ascii="Times New Roman" w:eastAsia="MS Mincho" w:hAnsi="Times New Roman" w:cs="Times New Roman"/>
          <w:i/>
          <w:sz w:val="24"/>
          <w:szCs w:val="24"/>
        </w:rPr>
      </w:pPr>
      <w:r>
        <w:rPr>
          <w:rFonts w:ascii="Times New Roman" w:eastAsia="MS Mincho" w:hAnsi="Times New Roman" w:cs="Times New Roman"/>
          <w:sz w:val="24"/>
          <w:szCs w:val="24"/>
        </w:rPr>
        <w:t xml:space="preserve">Analysis of Excerpts from </w:t>
      </w:r>
      <w:r>
        <w:rPr>
          <w:rFonts w:ascii="Times New Roman" w:eastAsia="MS Mincho" w:hAnsi="Times New Roman" w:cs="Times New Roman"/>
          <w:i/>
          <w:sz w:val="24"/>
          <w:szCs w:val="24"/>
        </w:rPr>
        <w:t xml:space="preserve">Saint Margaret </w:t>
      </w:r>
    </w:p>
    <w:p w:rsidR="00F25F32" w:rsidRDefault="00F25F32" w:rsidP="00F25F32">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p>
    <w:p w:rsidR="00F25F32" w:rsidRPr="007E4BDF" w:rsidRDefault="00F25F32" w:rsidP="00F25F32">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t xml:space="preserve">Despite the focus of </w:t>
      </w:r>
      <w:r>
        <w:rPr>
          <w:rFonts w:ascii="Times New Roman" w:eastAsia="MS Mincho" w:hAnsi="Times New Roman" w:cs="Times New Roman"/>
          <w:i/>
          <w:sz w:val="24"/>
          <w:szCs w:val="24"/>
        </w:rPr>
        <w:t>The Life of Saint Margaret</w:t>
      </w:r>
      <w:r>
        <w:rPr>
          <w:rFonts w:ascii="Times New Roman" w:eastAsia="MS Mincho" w:hAnsi="Times New Roman" w:cs="Times New Roman"/>
          <w:sz w:val="24"/>
          <w:szCs w:val="24"/>
        </w:rPr>
        <w:t xml:space="preserve"> on her overcoming a dragon, a demon and torture (if one considers martyrdom overcoming, as Margaret seemed to) the monologue of the demon focuses on virginity. I now know, thanks to Bledsoe, that most of this was propagated to nuns. Despite all Margaret’s strength and devotion, she is still seen as inferior because she is a woman. Even the demon is disturbed at being overcome by a woman: Margaret “[takes] firmly by his hideous hair, heaved him up, and dashed him right down on the earth [and] set her right foot on his rough neck” – is overcome with shame that a </w:t>
      </w:r>
      <w:r>
        <w:rPr>
          <w:rFonts w:ascii="Times New Roman" w:eastAsia="MS Mincho" w:hAnsi="Times New Roman" w:cs="Times New Roman"/>
          <w:i/>
          <w:sz w:val="24"/>
          <w:szCs w:val="24"/>
        </w:rPr>
        <w:t>woman</w:t>
      </w:r>
      <w:r>
        <w:rPr>
          <w:rFonts w:ascii="Times New Roman" w:eastAsia="MS Mincho" w:hAnsi="Times New Roman" w:cs="Times New Roman"/>
          <w:sz w:val="24"/>
          <w:szCs w:val="24"/>
        </w:rPr>
        <w:t xml:space="preserve"> has treated him thus, saying, “What will become of me? If only this were because of a man – but it is because of a maiden” (Teochimus 9). Even if one could argue that the monk who propagated the monologue cared for the women he was writing to – why tell them they are inferior in so many ways? Why is “maidenhood the queen of all virtues” (Teochimus 10)? Why has history been obsessed with virginity since the creation of religion? </w:t>
      </w:r>
    </w:p>
    <w:p w:rsidR="00F25F32" w:rsidRDefault="00F25F32" w:rsidP="00F25F32">
      <w:pPr>
        <w:spacing w:after="0" w:line="240" w:lineRule="auto"/>
        <w:rPr>
          <w:rFonts w:ascii="Times New Roman" w:eastAsia="MS Mincho" w:hAnsi="Times New Roman" w:cs="Times New Roman"/>
          <w:sz w:val="24"/>
          <w:szCs w:val="24"/>
        </w:rPr>
      </w:pPr>
    </w:p>
    <w:p w:rsidR="00F25F32" w:rsidRPr="003B403D" w:rsidRDefault="00F25F32" w:rsidP="00F25F32">
      <w:pPr>
        <w:spacing w:after="0" w:line="240" w:lineRule="auto"/>
        <w:ind w:firstLine="720"/>
        <w:rPr>
          <w:rFonts w:ascii="Times New Roman" w:eastAsia="MS Mincho" w:hAnsi="Times New Roman" w:cs="Times New Roman"/>
          <w:sz w:val="24"/>
          <w:szCs w:val="24"/>
        </w:rPr>
      </w:pPr>
      <w:r>
        <w:rPr>
          <w:rFonts w:ascii="Times New Roman" w:eastAsia="MS Mincho" w:hAnsi="Times New Roman" w:cs="Times New Roman"/>
          <w:sz w:val="24"/>
          <w:szCs w:val="24"/>
        </w:rPr>
        <w:t xml:space="preserve">Margaret said, “He has set his mark on me with his seal; neither life nor death can divide us from one another […] [I] love him as a beloved” (Teochimus 4, 3). This is a strong reference to the Song of Solomon, authored by King Solomon, son of King David, slayer of the giant Goliath. This book of the bible is known to be an analogy of God with his servants, a love story between them, in which the servant says, “Set me as a seal upon your heart, as a seal upon your arm, for love is as strong as death” (Song of Solomon 8:6). Is it merely a coincidence that the same man whom Margaret quotes, or alludes to, is the same man whom the demon claims once imprisoned him? The demon bewails, “Do not cast me down into hell. For Solomon the wise, while he lived here, contained us in a vessel” (Teochimus 9). The demon goes on to tell a blurb of a story that involves being set free by Babylonians and going forth, wreaking havoc throughout the world. It would be an interesting story to trace back from this moment: that the young woman who uses Solomon’s words speaks to a demon that Solomon bound. </w:t>
      </w:r>
    </w:p>
    <w:p w:rsidR="00F25F32" w:rsidRPr="003B403D" w:rsidRDefault="00F25F32" w:rsidP="00F25F32">
      <w:pPr>
        <w:spacing w:after="0" w:line="240" w:lineRule="auto"/>
        <w:jc w:val="center"/>
        <w:rPr>
          <w:rFonts w:ascii="Times New Roman" w:eastAsia="MS Mincho" w:hAnsi="Times New Roman" w:cs="Times New Roman"/>
          <w:sz w:val="24"/>
          <w:szCs w:val="24"/>
        </w:rPr>
      </w:pPr>
    </w:p>
    <w:p w:rsidR="00F25F32" w:rsidRPr="00F35B07" w:rsidRDefault="00F25F32" w:rsidP="00F25F32">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t>Christ says to Margaret: “Wherever your body or any of your bones may be, or a book of your suffering, if a sinful man come and put his lips to it, I will heal him of his sins, and no devil shall remain in any dwelling where the book of your martyrdom   is kept” (Teochimus 11). I find this to be the most unbelievable part of Margaret’s story. Margaret herself talks about the love she has for Christ, and the love Christ has for her, and all his followers: “You are the foster-</w:t>
      </w:r>
      <w:r>
        <w:rPr>
          <w:rFonts w:ascii="Times New Roman" w:eastAsia="MS Mincho" w:hAnsi="Times New Roman" w:cs="Times New Roman"/>
          <w:sz w:val="24"/>
          <w:szCs w:val="24"/>
        </w:rPr>
        <w:lastRenderedPageBreak/>
        <w:t xml:space="preserve">father and father to helpless children” and believes that Christ says to her “Come now, bride, to your bridegroom” (which is an analogy very much seen in the Song of Solomon) (Teochimus 5, 11). I do not believe, therefore that Christ would hand over to her the prayers of his followers. I feel it is uncharacteristic, if Christ is as jealous for the love of Margaret, as a “bridegroom” might be, and for his followers as Margaret believes he is, that he would have anyone be an intercessor except himself (Christ the intercessor between the follower and God). Creating mini-gods out of the saints is no different than the demi-gods of ancient Greek and Rome. Perhaps here is further propaganda and means of control by that of the monks and of the Catholic Church, as a means of social control: follow God’s laws unquestionably and “you will rule with [God] over all that [He] possesses” (Teochumus, 11). </w:t>
      </w:r>
    </w:p>
    <w:p w:rsidR="00F25F32" w:rsidRDefault="00F25F32" w:rsidP="00F25F32"/>
    <w:p w:rsidR="00F25F32" w:rsidRPr="00633F64" w:rsidRDefault="00F25F32" w:rsidP="00F25F32">
      <w:pPr>
        <w:spacing w:after="0" w:line="240" w:lineRule="auto"/>
        <w:rPr>
          <w:rFonts w:ascii="Times New Roman" w:hAnsi="Times New Roman" w:cs="Times New Roman"/>
          <w:sz w:val="24"/>
          <w:szCs w:val="24"/>
        </w:rPr>
      </w:pPr>
      <w:r w:rsidRPr="00633F64">
        <w:rPr>
          <w:rFonts w:ascii="Times New Roman" w:hAnsi="Times New Roman" w:cs="Times New Roman"/>
          <w:sz w:val="24"/>
          <w:szCs w:val="24"/>
        </w:rPr>
        <w:t xml:space="preserve">Winstead, Karen. </w:t>
      </w:r>
      <w:r w:rsidRPr="00633F64">
        <w:rPr>
          <w:rFonts w:ascii="Times New Roman" w:hAnsi="Times New Roman" w:cs="Times New Roman"/>
          <w:i/>
          <w:sz w:val="24"/>
          <w:szCs w:val="24"/>
        </w:rPr>
        <w:t>Virgin Martyrs</w:t>
      </w:r>
      <w:r>
        <w:rPr>
          <w:rFonts w:ascii="Times New Roman" w:hAnsi="Times New Roman" w:cs="Times New Roman"/>
          <w:sz w:val="24"/>
          <w:szCs w:val="24"/>
        </w:rPr>
        <w:t>. New York: Cornell University. 1997.</w:t>
      </w:r>
      <w:r w:rsidRPr="00633F64">
        <w:rPr>
          <w:rFonts w:ascii="Times New Roman" w:hAnsi="Times New Roman" w:cs="Times New Roman"/>
          <w:sz w:val="24"/>
          <w:szCs w:val="24"/>
        </w:rPr>
        <w:t xml:space="preserve"> </w:t>
      </w:r>
      <w:r>
        <w:rPr>
          <w:rFonts w:ascii="Times New Roman" w:hAnsi="Times New Roman" w:cs="Times New Roman"/>
          <w:sz w:val="24"/>
          <w:szCs w:val="24"/>
        </w:rPr>
        <w:t>Print.</w:t>
      </w:r>
    </w:p>
    <w:p w:rsidR="00F25F32" w:rsidRPr="00633F64" w:rsidRDefault="00F25F32" w:rsidP="00F25F32">
      <w:pPr>
        <w:spacing w:after="0" w:line="240" w:lineRule="auto"/>
        <w:rPr>
          <w:rFonts w:ascii="Times New Roman" w:hAnsi="Times New Roman" w:cs="Times New Roman"/>
          <w:sz w:val="24"/>
          <w:szCs w:val="24"/>
        </w:rPr>
      </w:pPr>
    </w:p>
    <w:p w:rsidR="00F25F32" w:rsidRPr="00C32C4D" w:rsidRDefault="00F25F32" w:rsidP="00F25F32">
      <w:pPr>
        <w:spacing w:after="0" w:line="240" w:lineRule="auto"/>
        <w:rPr>
          <w:rFonts w:ascii="Times New Roman" w:eastAsia="MS Mincho" w:hAnsi="Times New Roman" w:cs="Times New Roman"/>
          <w:sz w:val="24"/>
          <w:szCs w:val="24"/>
        </w:rPr>
      </w:pPr>
      <w:r w:rsidRPr="00633F64">
        <w:rPr>
          <w:rFonts w:ascii="Times New Roman" w:hAnsi="Times New Roman" w:cs="Times New Roman"/>
          <w:sz w:val="24"/>
          <w:szCs w:val="24"/>
        </w:rPr>
        <w:tab/>
      </w:r>
      <w:r>
        <w:rPr>
          <w:rFonts w:ascii="Times New Roman" w:hAnsi="Times New Roman" w:cs="Times New Roman"/>
          <w:sz w:val="24"/>
          <w:szCs w:val="24"/>
        </w:rPr>
        <w:t>The second burst of research</w:t>
      </w:r>
      <w:r w:rsidRPr="00633F64">
        <w:rPr>
          <w:rFonts w:ascii="Times New Roman" w:hAnsi="Times New Roman" w:cs="Times New Roman"/>
          <w:sz w:val="24"/>
          <w:szCs w:val="24"/>
        </w:rPr>
        <w:t xml:space="preserve"> </w:t>
      </w:r>
      <w:r>
        <w:rPr>
          <w:rFonts w:ascii="Times New Roman" w:hAnsi="Times New Roman" w:cs="Times New Roman"/>
          <w:sz w:val="24"/>
          <w:szCs w:val="24"/>
        </w:rPr>
        <w:t>focusing on the life and death of</w:t>
      </w:r>
      <w:r w:rsidRPr="00633F64">
        <w:rPr>
          <w:rFonts w:ascii="Times New Roman" w:hAnsi="Times New Roman" w:cs="Times New Roman"/>
          <w:sz w:val="24"/>
          <w:szCs w:val="24"/>
        </w:rPr>
        <w:t xml:space="preserve"> Saint Margaret</w:t>
      </w:r>
      <w:r>
        <w:rPr>
          <w:rFonts w:ascii="Times New Roman" w:hAnsi="Times New Roman" w:cs="Times New Roman"/>
          <w:sz w:val="24"/>
          <w:szCs w:val="24"/>
        </w:rPr>
        <w:t xml:space="preserve"> </w:t>
      </w:r>
      <w:r w:rsidRPr="00633F64">
        <w:rPr>
          <w:rFonts w:ascii="Times New Roman" w:hAnsi="Times New Roman" w:cs="Times New Roman"/>
          <w:sz w:val="24"/>
          <w:szCs w:val="24"/>
        </w:rPr>
        <w:t xml:space="preserve">was inspired by the questions I posed after reading Jenny Bledsoe’s article </w:t>
      </w:r>
      <w:r w:rsidRPr="00633F64">
        <w:rPr>
          <w:rFonts w:ascii="Times New Roman" w:eastAsia="Times New Roman" w:hAnsi="Times New Roman" w:cs="Times New Roman"/>
          <w:sz w:val="24"/>
          <w:szCs w:val="24"/>
        </w:rPr>
        <w:t>“</w:t>
      </w:r>
      <w:r w:rsidRPr="00633F64">
        <w:rPr>
          <w:rFonts w:ascii="Times New Roman" w:eastAsia="Times New Roman" w:hAnsi="Times New Roman" w:cs="Times New Roman"/>
          <w:sz w:val="24"/>
          <w:szCs w:val="24"/>
          <w:lang w:val="en"/>
        </w:rPr>
        <w:t>The Cult of St. Margaret of Antioch at Tarrant Crawford: The Saint’s Didactic Body and its Resonance for Religious Women”</w:t>
      </w:r>
      <w:r>
        <w:rPr>
          <w:rFonts w:ascii="Times New Roman" w:hAnsi="Times New Roman" w:cs="Times New Roman"/>
          <w:sz w:val="24"/>
          <w:szCs w:val="24"/>
        </w:rPr>
        <w:t xml:space="preserve">: </w:t>
      </w:r>
      <w:r w:rsidRPr="00F35B07">
        <w:rPr>
          <w:rFonts w:ascii="Times New Roman" w:eastAsia="MS Mincho" w:hAnsi="Times New Roman" w:cs="Times New Roman"/>
          <w:sz w:val="24"/>
          <w:szCs w:val="24"/>
        </w:rPr>
        <w:t>Why, in a</w:t>
      </w:r>
      <w:r>
        <w:rPr>
          <w:rFonts w:ascii="Times New Roman" w:eastAsia="MS Mincho" w:hAnsi="Times New Roman" w:cs="Times New Roman"/>
          <w:sz w:val="24"/>
          <w:szCs w:val="24"/>
        </w:rPr>
        <w:t xml:space="preserve"> spiritual</w:t>
      </w:r>
      <w:r w:rsidRPr="00F35B07">
        <w:rPr>
          <w:rFonts w:ascii="Times New Roman" w:eastAsia="MS Mincho" w:hAnsi="Times New Roman" w:cs="Times New Roman"/>
          <w:sz w:val="24"/>
          <w:szCs w:val="24"/>
        </w:rPr>
        <w:t xml:space="preserve"> w</w:t>
      </w:r>
      <w:r>
        <w:rPr>
          <w:rFonts w:ascii="Times New Roman" w:eastAsia="MS Mincho" w:hAnsi="Times New Roman" w:cs="Times New Roman"/>
          <w:sz w:val="24"/>
          <w:szCs w:val="24"/>
        </w:rPr>
        <w:t xml:space="preserve">orld where demons exist, is </w:t>
      </w:r>
      <w:r w:rsidRPr="00F35B07">
        <w:rPr>
          <w:rFonts w:ascii="Times New Roman" w:eastAsia="MS Mincho" w:hAnsi="Times New Roman" w:cs="Times New Roman"/>
          <w:sz w:val="24"/>
          <w:szCs w:val="24"/>
        </w:rPr>
        <w:t>female virg</w:t>
      </w:r>
      <w:r>
        <w:rPr>
          <w:rFonts w:ascii="Times New Roman" w:eastAsia="MS Mincho" w:hAnsi="Times New Roman" w:cs="Times New Roman"/>
          <w:sz w:val="24"/>
          <w:szCs w:val="24"/>
        </w:rPr>
        <w:t>inity so essential to a woman’s worth and salvation? Also, what is the obsession with virginity even to the present day? Winstead encouraged this focus by asserting that “</w:t>
      </w:r>
      <w:r>
        <w:rPr>
          <w:rFonts w:ascii="Times New Roman" w:hAnsi="Times New Roman" w:cs="Times New Roman"/>
          <w:sz w:val="24"/>
          <w:szCs w:val="24"/>
        </w:rPr>
        <w:t>v</w:t>
      </w:r>
      <w:r w:rsidRPr="00633F64">
        <w:rPr>
          <w:rFonts w:ascii="Times New Roman" w:hAnsi="Times New Roman" w:cs="Times New Roman"/>
          <w:sz w:val="24"/>
          <w:szCs w:val="24"/>
        </w:rPr>
        <w:t>irgin martyrs, more than any other type of saints, appear to have captured</w:t>
      </w:r>
      <w:r>
        <w:rPr>
          <w:rFonts w:ascii="Times New Roman" w:hAnsi="Times New Roman" w:cs="Times New Roman"/>
          <w:sz w:val="24"/>
          <w:szCs w:val="24"/>
        </w:rPr>
        <w:t xml:space="preserve"> the imagination” </w:t>
      </w:r>
      <w:r w:rsidRPr="00633F64">
        <w:rPr>
          <w:rFonts w:ascii="Times New Roman" w:hAnsi="Times New Roman" w:cs="Times New Roman"/>
          <w:sz w:val="24"/>
          <w:szCs w:val="24"/>
        </w:rPr>
        <w:t>(</w:t>
      </w:r>
      <w:r>
        <w:rPr>
          <w:rFonts w:ascii="Times New Roman" w:hAnsi="Times New Roman" w:cs="Times New Roman"/>
          <w:sz w:val="24"/>
          <w:szCs w:val="24"/>
        </w:rPr>
        <w:t xml:space="preserve">Winstead </w:t>
      </w:r>
      <w:r w:rsidRPr="00633F64">
        <w:rPr>
          <w:rFonts w:ascii="Times New Roman" w:hAnsi="Times New Roman" w:cs="Times New Roman"/>
          <w:sz w:val="24"/>
          <w:szCs w:val="24"/>
        </w:rPr>
        <w:t>3)</w:t>
      </w:r>
    </w:p>
    <w:p w:rsidR="00F25F32" w:rsidRDefault="00F25F32" w:rsidP="00F25F32">
      <w:pPr>
        <w:spacing w:after="0" w:line="240" w:lineRule="auto"/>
        <w:ind w:firstLine="360"/>
        <w:rPr>
          <w:rFonts w:ascii="Times New Roman" w:eastAsia="MS Mincho" w:hAnsi="Times New Roman" w:cs="Times New Roman"/>
          <w:sz w:val="24"/>
          <w:szCs w:val="24"/>
        </w:rPr>
      </w:pPr>
      <w:r>
        <w:rPr>
          <w:rFonts w:ascii="Times New Roman" w:eastAsia="MS Mincho" w:hAnsi="Times New Roman" w:cs="Times New Roman"/>
          <w:sz w:val="24"/>
          <w:szCs w:val="24"/>
        </w:rPr>
        <w:t>I began to focus on the relationship of virginity and spirituality. Dr. Karen Winstead of Ohio State University has authored two books on the subject of virgin martyrs and virginity as a separate surprisingly fluid concept, depending on history. Winstead produced a helpful “recipe” for the typical virgin martyr legends:</w:t>
      </w:r>
    </w:p>
    <w:p w:rsidR="00F25F32" w:rsidRDefault="00F25F32" w:rsidP="00F25F32">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“Many of the most standard ingredients of virgin martyr legends are found in the accounts of most early Christian martyrs: the saint refuses to participate in pagan sacrifices, debates her antagonist,  affirm the fundamental tennents of Christianity, destroys idols, performs miracles, and endures excruciating torments” (Winstead 5).</w:t>
      </w:r>
    </w:p>
    <w:p w:rsidR="00F25F32" w:rsidRPr="00C32C4D" w:rsidRDefault="00F25F32" w:rsidP="00F25F32">
      <w:pPr>
        <w:spacing w:after="0" w:line="240" w:lineRule="auto"/>
        <w:ind w:firstLine="360"/>
        <w:rPr>
          <w:rFonts w:ascii="Times New Roman" w:hAnsi="Times New Roman" w:cs="Times New Roman"/>
          <w:sz w:val="24"/>
          <w:szCs w:val="24"/>
        </w:rPr>
      </w:pPr>
      <w:r w:rsidRPr="00C32C4D">
        <w:rPr>
          <w:rFonts w:ascii="Times New Roman" w:hAnsi="Times New Roman" w:cs="Times New Roman"/>
          <w:sz w:val="24"/>
          <w:szCs w:val="24"/>
        </w:rPr>
        <w:t>The one “ingredient”</w:t>
      </w:r>
      <w:r>
        <w:rPr>
          <w:rFonts w:ascii="Times New Roman" w:hAnsi="Times New Roman" w:cs="Times New Roman"/>
          <w:sz w:val="24"/>
          <w:szCs w:val="24"/>
        </w:rPr>
        <w:t xml:space="preserve"> </w:t>
      </w:r>
      <w:r w:rsidRPr="00C32C4D">
        <w:rPr>
          <w:rFonts w:ascii="Times New Roman" w:hAnsi="Times New Roman" w:cs="Times New Roman"/>
          <w:sz w:val="24"/>
          <w:szCs w:val="24"/>
        </w:rPr>
        <w:t xml:space="preserve">that Saint Margaret does not have is destroying an idol; one could argue that by refusing to be joined a pagan man, Olibrius, she, by extension, “refuses to participate in pagan activity, as Winstead lists. </w:t>
      </w:r>
      <w:r>
        <w:rPr>
          <w:rFonts w:ascii="Times New Roman" w:hAnsi="Times New Roman" w:cs="Times New Roman"/>
          <w:sz w:val="24"/>
          <w:szCs w:val="24"/>
        </w:rPr>
        <w:t>Margaret preaches “the tennents of Christianity”, performs the miracle of emerging from the dragon and, indeed, endures six “excruciating torments”, including, being stripped naked and beaten with “cruel rods”, scourged, “cruelly hanged and with sharp swords and flesh-hooks of iron […] was cut [and] torn”, is “burned with burning tapers” and “bound hand and foot and thrown to the bottom [of] a vat full of water” (Teochimus 4, 10).</w:t>
      </w:r>
    </w:p>
    <w:p w:rsidR="00F25F32" w:rsidRDefault="00F25F32" w:rsidP="00F25F32">
      <w:pPr>
        <w:spacing w:after="0" w:line="240" w:lineRule="auto"/>
        <w:rPr>
          <w:rFonts w:ascii="Times New Roman" w:hAnsi="Times New Roman" w:cs="Times New Roman"/>
          <w:sz w:val="24"/>
          <w:szCs w:val="24"/>
        </w:rPr>
      </w:pPr>
      <w:r>
        <w:rPr>
          <w:rFonts w:ascii="Times New Roman" w:eastAsia="MS Mincho" w:hAnsi="Times New Roman" w:cs="Times New Roman"/>
          <w:sz w:val="24"/>
          <w:szCs w:val="24"/>
        </w:rPr>
        <w:tab/>
        <w:t xml:space="preserve">But Winstead clarifies after, </w:t>
      </w:r>
      <w:r w:rsidRPr="00B45532">
        <w:rPr>
          <w:rFonts w:ascii="Times New Roman" w:hAnsi="Times New Roman" w:cs="Times New Roman"/>
          <w:sz w:val="24"/>
          <w:szCs w:val="24"/>
        </w:rPr>
        <w:t>“What distinguishes the legends of most female martyrs from those of their male counterparts is a preoccupation with gender and sexuality. Almost all virgin martyr legends dramatize some thr</w:t>
      </w:r>
      <w:r>
        <w:rPr>
          <w:rFonts w:ascii="Times New Roman" w:hAnsi="Times New Roman" w:cs="Times New Roman"/>
          <w:sz w:val="24"/>
          <w:szCs w:val="24"/>
        </w:rPr>
        <w:t xml:space="preserve">eat to the saint’s virginity” (Winstead </w:t>
      </w:r>
      <w:r w:rsidRPr="00B45532">
        <w:rPr>
          <w:rFonts w:ascii="Times New Roman" w:hAnsi="Times New Roman" w:cs="Times New Roman"/>
          <w:sz w:val="24"/>
          <w:szCs w:val="24"/>
        </w:rPr>
        <w:t>6)</w:t>
      </w:r>
      <w:r>
        <w:rPr>
          <w:rFonts w:ascii="Times New Roman" w:hAnsi="Times New Roman" w:cs="Times New Roman"/>
          <w:sz w:val="24"/>
          <w:szCs w:val="24"/>
        </w:rPr>
        <w:t xml:space="preserve">. This is true of Margaret’s story, for after each of the six agonizing tortures, some that “tore at her so that neither the evil ruler nor anyone else there could bear to look at her out of horror because of the great rush of blood”, Olibrius, still, is after her virginity, saying, “Submit now and render obeisance to me” so that he may, as originally planned , “hold her as my wife [or] choose her as a concubine” (Teochimus 3). </w:t>
      </w:r>
    </w:p>
    <w:p w:rsidR="00F25F32" w:rsidRDefault="00F25F32" w:rsidP="00F25F3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Winstead remains concerned with the definition and purpose of a virgin martyrs during the medieval period. Although there is an obvious unnatural emphasis on sexuality/virginity in </w:t>
      </w:r>
      <w:r>
        <w:rPr>
          <w:rFonts w:ascii="Times New Roman" w:hAnsi="Times New Roman" w:cs="Times New Roman"/>
          <w:sz w:val="24"/>
          <w:szCs w:val="24"/>
        </w:rPr>
        <w:lastRenderedPageBreak/>
        <w:t>young women’s story of martyrdom (assuming they’re virgins), Winstead’s approach is, overall, convinced that the emphasis was a healthy one, that,</w:t>
      </w:r>
    </w:p>
    <w:p w:rsidR="00F25F32" w:rsidRDefault="00F25F32" w:rsidP="00F25F3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t>
      </w:r>
      <w:r w:rsidRPr="009535A1">
        <w:rPr>
          <w:rFonts w:ascii="Times New Roman" w:hAnsi="Times New Roman" w:cs="Times New Roman"/>
          <w:sz w:val="24"/>
          <w:szCs w:val="24"/>
        </w:rPr>
        <w:t>As the most vulnerable and carnal of human beings – the virgin martyrs testify that the flesh can indeed triumph over corporeal desires, that weakness can prevail over strength, Their bodies, torn and made whole, replicate the miracle of the Eucharist. The paradox of the virgins’ triumph is distilled in their emblems, where instruments designed to erase identity a</w:t>
      </w:r>
      <w:r>
        <w:rPr>
          <w:rFonts w:ascii="Times New Roman" w:hAnsi="Times New Roman" w:cs="Times New Roman"/>
          <w:sz w:val="24"/>
          <w:szCs w:val="24"/>
        </w:rPr>
        <w:t xml:space="preserve">re used to proclaim identity” (Winstead 12). </w:t>
      </w:r>
    </w:p>
    <w:p w:rsidR="00F25F32" w:rsidRPr="009535A1" w:rsidRDefault="00F25F32" w:rsidP="00F25F3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 am not convinced of this perspective due to previous readings by Bledsoe, but also due to the writing of Kelly and Salih, which present a darker side to the manipulation of the idea of virginity and spirituality by the church – and example of this I have already seen, as it was discovered when reading Bledsoe’s work that a monk </w:t>
      </w:r>
      <w:r>
        <w:rPr>
          <w:rFonts w:ascii="Times New Roman" w:hAnsi="Times New Roman" w:cs="Times New Roman"/>
          <w:i/>
          <w:sz w:val="24"/>
          <w:szCs w:val="24"/>
        </w:rPr>
        <w:t>added</w:t>
      </w:r>
      <w:r>
        <w:rPr>
          <w:rFonts w:ascii="Times New Roman" w:hAnsi="Times New Roman" w:cs="Times New Roman"/>
          <w:sz w:val="24"/>
          <w:szCs w:val="24"/>
        </w:rPr>
        <w:t xml:space="preserve"> the demon’s entire monologue about the importance of chastity, or the importance of being chaste, or virginal. </w:t>
      </w:r>
    </w:p>
    <w:p w:rsidR="006E622D" w:rsidRDefault="006E622D" w:rsidP="000550FA">
      <w:pPr>
        <w:jc w:val="right"/>
      </w:pPr>
    </w:p>
    <w:sectPr w:rsidR="006E622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F32" w:rsidRDefault="00F25F32" w:rsidP="00F25F32">
      <w:pPr>
        <w:spacing w:after="0" w:line="240" w:lineRule="auto"/>
      </w:pPr>
      <w:r>
        <w:separator/>
      </w:r>
    </w:p>
  </w:endnote>
  <w:endnote w:type="continuationSeparator" w:id="0">
    <w:p w:rsidR="00F25F32" w:rsidRDefault="00F25F32" w:rsidP="00F2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F32" w:rsidRDefault="00F25F32" w:rsidP="00F25F32">
      <w:pPr>
        <w:spacing w:after="0" w:line="240" w:lineRule="auto"/>
      </w:pPr>
      <w:r>
        <w:separator/>
      </w:r>
    </w:p>
  </w:footnote>
  <w:footnote w:type="continuationSeparator" w:id="0">
    <w:p w:rsidR="00F25F32" w:rsidRDefault="00F25F32" w:rsidP="00F25F32">
      <w:pPr>
        <w:spacing w:after="0" w:line="240" w:lineRule="auto"/>
      </w:pPr>
      <w:r>
        <w:continuationSeparator/>
      </w:r>
    </w:p>
  </w:footnote>
  <w:footnote w:id="1">
    <w:p w:rsidR="00F25F32" w:rsidRDefault="00F25F32" w:rsidP="00F25F32">
      <w:pPr>
        <w:pStyle w:val="FootnoteText"/>
      </w:pPr>
      <w:r>
        <w:rPr>
          <w:rStyle w:val="FootnoteReference"/>
        </w:rPr>
        <w:footnoteRef/>
      </w:r>
      <w:r>
        <w:t xml:space="preserve"> </w:t>
      </w:r>
      <w:r w:rsidRPr="00901AF6">
        <w:rPr>
          <w:rFonts w:ascii="Times New Roman" w:hAnsi="Times New Roman" w:cs="Times New Roman"/>
        </w:rPr>
        <w:t>That is</w:t>
      </w:r>
      <w:r>
        <w:rPr>
          <w:rFonts w:ascii="Times New Roman" w:hAnsi="Times New Roman" w:cs="Times New Roman"/>
        </w:rPr>
        <w:t xml:space="preserve"> the original fallen angel</w:t>
      </w:r>
      <w:r w:rsidRPr="00901AF6">
        <w:rPr>
          <w:rFonts w:ascii="Times New Roman" w:hAnsi="Times New Roman" w:cs="Times New Roman"/>
        </w:rPr>
        <w:t>, Satan or Lucifer</w:t>
      </w:r>
      <w:r>
        <w:rPr>
          <w:rFonts w:ascii="Times New Roman" w:hAnsi="Times New Roman" w:cs="Times New Roman"/>
        </w:rPr>
        <w:t xml:space="preserve">. </w:t>
      </w:r>
    </w:p>
  </w:footnote>
  <w:footnote w:id="2">
    <w:p w:rsidR="00F25F32" w:rsidRPr="005C5D54" w:rsidRDefault="00F25F32" w:rsidP="00F25F32">
      <w:pPr>
        <w:pStyle w:val="FootnoteText"/>
        <w:rPr>
          <w:rFonts w:ascii="Times New Roman" w:hAnsi="Times New Roman" w:cs="Times New Roman"/>
        </w:rPr>
      </w:pPr>
      <w:r w:rsidRPr="005C5D54">
        <w:rPr>
          <w:rStyle w:val="FootnoteReference"/>
          <w:rFonts w:ascii="Times New Roman" w:hAnsi="Times New Roman" w:cs="Times New Roman"/>
        </w:rPr>
        <w:footnoteRef/>
      </w:r>
      <w:r w:rsidRPr="005C5D54">
        <w:rPr>
          <w:rFonts w:ascii="Times New Roman" w:hAnsi="Times New Roman" w:cs="Times New Roman"/>
        </w:rPr>
        <w:t xml:space="preserve"> </w:t>
      </w:r>
      <w:r>
        <w:rPr>
          <w:rFonts w:ascii="Times New Roman" w:hAnsi="Times New Roman" w:cs="Times New Roman"/>
        </w:rPr>
        <w:t xml:space="preserve">The alphabetized order of sources does not reflect the order in which they were </w:t>
      </w:r>
      <w:r>
        <w:rPr>
          <w:rFonts w:ascii="Times New Roman" w:eastAsia="MS Mincho" w:hAnsi="Times New Roman" w:cs="Times New Roman"/>
        </w:rPr>
        <w:t xml:space="preserve">analyzed.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4539153"/>
      <w:docPartObj>
        <w:docPartGallery w:val="Page Numbers (Top of Page)"/>
        <w:docPartUnique/>
      </w:docPartObj>
    </w:sdtPr>
    <w:sdtEndPr>
      <w:rPr>
        <w:rFonts w:ascii="Times New Roman" w:hAnsi="Times New Roman" w:cs="Times New Roman"/>
        <w:noProof/>
      </w:rPr>
    </w:sdtEndPr>
    <w:sdtContent>
      <w:p w:rsidR="000550FA" w:rsidRPr="000550FA" w:rsidRDefault="000550FA">
        <w:pPr>
          <w:pStyle w:val="Header"/>
          <w:jc w:val="right"/>
          <w:rPr>
            <w:rFonts w:ascii="Times New Roman" w:hAnsi="Times New Roman" w:cs="Times New Roman"/>
          </w:rPr>
        </w:pPr>
        <w:r w:rsidRPr="000550FA">
          <w:rPr>
            <w:rFonts w:ascii="Times New Roman" w:hAnsi="Times New Roman" w:cs="Times New Roman"/>
          </w:rPr>
          <w:t xml:space="preserve">Lacombe </w:t>
        </w:r>
        <w:r w:rsidRPr="000550FA">
          <w:rPr>
            <w:rFonts w:ascii="Times New Roman" w:hAnsi="Times New Roman" w:cs="Times New Roman"/>
          </w:rPr>
          <w:fldChar w:fldCharType="begin"/>
        </w:r>
        <w:r w:rsidRPr="000550FA">
          <w:rPr>
            <w:rFonts w:ascii="Times New Roman" w:hAnsi="Times New Roman" w:cs="Times New Roman"/>
          </w:rPr>
          <w:instrText xml:space="preserve"> PAGE   \* MERGEFORMAT </w:instrText>
        </w:r>
        <w:r w:rsidRPr="000550FA">
          <w:rPr>
            <w:rFonts w:ascii="Times New Roman" w:hAnsi="Times New Roman" w:cs="Times New Roman"/>
          </w:rPr>
          <w:fldChar w:fldCharType="separate"/>
        </w:r>
        <w:r w:rsidR="00081F9D">
          <w:rPr>
            <w:rFonts w:ascii="Times New Roman" w:hAnsi="Times New Roman" w:cs="Times New Roman"/>
            <w:noProof/>
          </w:rPr>
          <w:t>9</w:t>
        </w:r>
        <w:r w:rsidRPr="000550FA">
          <w:rPr>
            <w:rFonts w:ascii="Times New Roman" w:hAnsi="Times New Roman" w:cs="Times New Roman"/>
            <w:noProof/>
          </w:rPr>
          <w:fldChar w:fldCharType="end"/>
        </w:r>
      </w:p>
    </w:sdtContent>
  </w:sdt>
  <w:p w:rsidR="000550FA" w:rsidRDefault="000550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32"/>
    <w:rsid w:val="000550FA"/>
    <w:rsid w:val="00081F9D"/>
    <w:rsid w:val="006E622D"/>
    <w:rsid w:val="00EA594B"/>
    <w:rsid w:val="00F25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642A3-0875-43B6-94A6-224057701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F32"/>
    <w:rPr>
      <w:color w:val="0563C1" w:themeColor="hyperlink"/>
      <w:u w:val="single"/>
    </w:rPr>
  </w:style>
  <w:style w:type="character" w:styleId="FootnoteReference">
    <w:name w:val="footnote reference"/>
    <w:basedOn w:val="DefaultParagraphFont"/>
    <w:uiPriority w:val="99"/>
    <w:semiHidden/>
    <w:unhideWhenUsed/>
    <w:rsid w:val="00F25F32"/>
    <w:rPr>
      <w:vertAlign w:val="superscript"/>
    </w:rPr>
  </w:style>
  <w:style w:type="paragraph" w:styleId="FootnoteText">
    <w:name w:val="footnote text"/>
    <w:basedOn w:val="Normal"/>
    <w:link w:val="FootnoteTextChar1"/>
    <w:uiPriority w:val="99"/>
    <w:semiHidden/>
    <w:unhideWhenUsed/>
    <w:rsid w:val="00F25F32"/>
    <w:pPr>
      <w:spacing w:after="0" w:line="240" w:lineRule="auto"/>
    </w:pPr>
    <w:rPr>
      <w:sz w:val="20"/>
      <w:szCs w:val="20"/>
    </w:rPr>
  </w:style>
  <w:style w:type="character" w:customStyle="1" w:styleId="FootnoteTextChar">
    <w:name w:val="Footnote Text Char"/>
    <w:basedOn w:val="DefaultParagraphFont"/>
    <w:uiPriority w:val="99"/>
    <w:semiHidden/>
    <w:rsid w:val="00F25F32"/>
    <w:rPr>
      <w:sz w:val="20"/>
      <w:szCs w:val="20"/>
    </w:rPr>
  </w:style>
  <w:style w:type="character" w:customStyle="1" w:styleId="FootnoteTextChar1">
    <w:name w:val="Footnote Text Char1"/>
    <w:basedOn w:val="DefaultParagraphFont"/>
    <w:link w:val="FootnoteText"/>
    <w:uiPriority w:val="99"/>
    <w:semiHidden/>
    <w:rsid w:val="00F25F32"/>
    <w:rPr>
      <w:sz w:val="20"/>
      <w:szCs w:val="20"/>
    </w:rPr>
  </w:style>
  <w:style w:type="paragraph" w:styleId="ListParagraph">
    <w:name w:val="List Paragraph"/>
    <w:basedOn w:val="Normal"/>
    <w:uiPriority w:val="34"/>
    <w:qFormat/>
    <w:rsid w:val="00F25F32"/>
    <w:pPr>
      <w:ind w:left="720"/>
      <w:contextualSpacing/>
    </w:pPr>
  </w:style>
  <w:style w:type="paragraph" w:styleId="Header">
    <w:name w:val="header"/>
    <w:basedOn w:val="Normal"/>
    <w:link w:val="HeaderChar"/>
    <w:uiPriority w:val="99"/>
    <w:unhideWhenUsed/>
    <w:rsid w:val="0005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0FA"/>
  </w:style>
  <w:style w:type="paragraph" w:styleId="Footer">
    <w:name w:val="footer"/>
    <w:basedOn w:val="Normal"/>
    <w:link w:val="FooterChar"/>
    <w:uiPriority w:val="99"/>
    <w:unhideWhenUsed/>
    <w:rsid w:val="0005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mich.edu/medieval/congres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lib.rochester.edu/camelot/%20creator/sherry-ream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4408</Words>
  <Characters>25131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3</cp:revision>
  <dcterms:created xsi:type="dcterms:W3CDTF">2014-11-25T14:49:00Z</dcterms:created>
  <dcterms:modified xsi:type="dcterms:W3CDTF">2014-11-25T16:35:00Z</dcterms:modified>
</cp:coreProperties>
</file>